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D4AF39" w14:textId="77777777" w:rsidR="00EB79C3" w:rsidRPr="00C01C50" w:rsidRDefault="00000000">
      <w:pPr>
        <w:widowControl/>
        <w:spacing w:after="120"/>
        <w:jc w:val="both"/>
        <w:rPr>
          <w:rFonts w:ascii="標楷體" w:eastAsia="標楷體" w:hAnsi="標楷體" w:cs="標楷體"/>
          <w:color w:val="000000" w:themeColor="text1"/>
        </w:rPr>
      </w:pPr>
      <w:r w:rsidRPr="00C01C50">
        <w:rPr>
          <w:noProof/>
          <w:color w:val="000000" w:themeColor="text1"/>
        </w:rPr>
        <w:drawing>
          <wp:anchor distT="0" distB="0" distL="114300" distR="114300" simplePos="0" relativeHeight="251658240" behindDoc="0" locked="0" layoutInCell="1" hidden="0" allowOverlap="1" wp14:anchorId="2A1D7781" wp14:editId="477E4C10">
            <wp:simplePos x="0" y="0"/>
            <wp:positionH relativeFrom="column">
              <wp:posOffset>114300</wp:posOffset>
            </wp:positionH>
            <wp:positionV relativeFrom="paragraph">
              <wp:posOffset>0</wp:posOffset>
            </wp:positionV>
            <wp:extent cx="2290763" cy="911379"/>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l="8683" t="16332" r="7784" b="17681"/>
                    <a:stretch>
                      <a:fillRect/>
                    </a:stretch>
                  </pic:blipFill>
                  <pic:spPr>
                    <a:xfrm>
                      <a:off x="0" y="0"/>
                      <a:ext cx="2290763" cy="911379"/>
                    </a:xfrm>
                    <a:prstGeom prst="rect">
                      <a:avLst/>
                    </a:prstGeom>
                    <a:ln/>
                  </pic:spPr>
                </pic:pic>
              </a:graphicData>
            </a:graphic>
          </wp:anchor>
        </w:drawing>
      </w:r>
    </w:p>
    <w:p w14:paraId="205304BC" w14:textId="77777777" w:rsidR="00EB79C3" w:rsidRPr="00C01C50" w:rsidRDefault="00EB79C3">
      <w:pPr>
        <w:widowControl/>
        <w:spacing w:after="120"/>
        <w:jc w:val="both"/>
        <w:rPr>
          <w:rFonts w:ascii="標楷體" w:eastAsia="標楷體" w:hAnsi="標楷體" w:cs="標楷體"/>
          <w:color w:val="000000" w:themeColor="text1"/>
        </w:rPr>
      </w:pPr>
    </w:p>
    <w:p w14:paraId="3598128E" w14:textId="77777777" w:rsidR="00EB79C3" w:rsidRPr="00C01C50" w:rsidRDefault="00EB79C3">
      <w:pPr>
        <w:widowControl/>
        <w:spacing w:after="120"/>
        <w:jc w:val="both"/>
        <w:rPr>
          <w:rFonts w:ascii="標楷體" w:eastAsia="標楷體" w:hAnsi="標楷體" w:cs="標楷體"/>
          <w:color w:val="000000" w:themeColor="text1"/>
        </w:rPr>
      </w:pPr>
    </w:p>
    <w:p w14:paraId="4E68ACC0" w14:textId="77777777" w:rsidR="004341C9" w:rsidRDefault="004341C9">
      <w:pPr>
        <w:widowControl/>
        <w:spacing w:after="120"/>
        <w:jc w:val="both"/>
        <w:rPr>
          <w:rFonts w:ascii="標楷體" w:eastAsia="標楷體" w:hAnsi="標楷體" w:cs="標楷體"/>
          <w:color w:val="000000" w:themeColor="text1"/>
        </w:rPr>
      </w:pPr>
    </w:p>
    <w:p w14:paraId="260C9506" w14:textId="2432DD83" w:rsidR="00EB79C3" w:rsidRPr="00C01C50" w:rsidRDefault="00000000">
      <w:pPr>
        <w:widowControl/>
        <w:spacing w:after="120"/>
        <w:jc w:val="both"/>
        <w:rPr>
          <w:rFonts w:ascii="標楷體" w:eastAsia="標楷體" w:hAnsi="標楷體" w:cs="標楷體"/>
          <w:color w:val="000000" w:themeColor="text1"/>
        </w:rPr>
      </w:pPr>
      <w:r w:rsidRPr="00C01C50">
        <w:rPr>
          <w:rFonts w:ascii="標楷體" w:eastAsia="標楷體" w:hAnsi="標楷體" w:cs="標楷體"/>
          <w:color w:val="000000" w:themeColor="text1"/>
        </w:rPr>
        <w:t>本會檔案：SR/0082/2026</w:t>
      </w:r>
    </w:p>
    <w:p w14:paraId="4BBDCCF0" w14:textId="77777777" w:rsidR="00EB79C3" w:rsidRPr="00C01C50" w:rsidRDefault="00EB79C3">
      <w:pPr>
        <w:widowControl/>
        <w:spacing w:after="120"/>
        <w:jc w:val="both"/>
        <w:rPr>
          <w:rFonts w:ascii="標楷體" w:eastAsia="標楷體" w:hAnsi="標楷體" w:cs="標楷體"/>
          <w:color w:val="000000" w:themeColor="text1"/>
        </w:rPr>
      </w:pPr>
    </w:p>
    <w:p w14:paraId="4B6BF126" w14:textId="60E53078" w:rsidR="00EB79C3" w:rsidRPr="00C01C50" w:rsidRDefault="004341C9">
      <w:pPr>
        <w:widowControl/>
        <w:spacing w:after="120"/>
        <w:jc w:val="both"/>
        <w:rPr>
          <w:rFonts w:ascii="標楷體" w:eastAsia="標楷體" w:hAnsi="標楷體" w:cs="標楷體"/>
          <w:color w:val="000000" w:themeColor="text1"/>
        </w:rPr>
      </w:pPr>
      <w:r w:rsidRPr="004341C9">
        <w:rPr>
          <w:rFonts w:ascii="標楷體" w:eastAsia="標楷體" w:hAnsi="標楷體" w:cs="標楷體" w:hint="eastAsia"/>
          <w:b/>
          <w:bCs/>
          <w:color w:val="000000" w:themeColor="text1"/>
        </w:rPr>
        <w:t>地址</w:t>
      </w:r>
      <w:proofErr w:type="gramStart"/>
      <w:r w:rsidRPr="004341C9">
        <w:rPr>
          <w:rFonts w:ascii="標楷體" w:eastAsia="標楷體" w:hAnsi="標楷體" w:cs="標楷體" w:hint="eastAsia"/>
          <w:b/>
          <w:bCs/>
          <w:color w:val="000000" w:themeColor="text1"/>
        </w:rPr>
        <w:t>一</w:t>
      </w:r>
      <w:proofErr w:type="gramEnd"/>
      <w:r>
        <w:rPr>
          <w:rFonts w:ascii="標楷體" w:eastAsia="標楷體" w:hAnsi="標楷體" w:cs="標楷體" w:hint="eastAsia"/>
          <w:color w:val="000000" w:themeColor="text1"/>
        </w:rPr>
        <w:t>：</w:t>
      </w:r>
      <w:r w:rsidRPr="00C01C50">
        <w:rPr>
          <w:rFonts w:ascii="標楷體" w:eastAsia="標楷體" w:hAnsi="標楷體" w:cs="標楷體"/>
          <w:color w:val="000000" w:themeColor="text1"/>
        </w:rPr>
        <w:t>香港添馬添美道2號</w:t>
      </w:r>
    </w:p>
    <w:p w14:paraId="67E9925B" w14:textId="0EFD8355" w:rsidR="00EB79C3" w:rsidRDefault="00000000">
      <w:pPr>
        <w:widowControl/>
        <w:spacing w:after="120"/>
        <w:jc w:val="both"/>
        <w:rPr>
          <w:rFonts w:ascii="標楷體" w:eastAsia="標楷體" w:hAnsi="標楷體" w:cs="標楷體"/>
          <w:color w:val="000000" w:themeColor="text1"/>
        </w:rPr>
      </w:pPr>
      <w:r w:rsidRPr="00C01C50">
        <w:rPr>
          <w:rFonts w:ascii="標楷體" w:eastAsia="標楷體" w:hAnsi="標楷體" w:cs="標楷體"/>
          <w:color w:val="000000" w:themeColor="text1"/>
        </w:rPr>
        <w:t>政府總部</w:t>
      </w:r>
      <w:r w:rsidR="004341C9">
        <w:rPr>
          <w:rFonts w:ascii="標楷體" w:eastAsia="標楷體" w:hAnsi="標楷體" w:cs="標楷體" w:hint="eastAsia"/>
          <w:color w:val="000000" w:themeColor="text1"/>
        </w:rPr>
        <w:t>東</w:t>
      </w:r>
      <w:r w:rsidRPr="00C01C50">
        <w:rPr>
          <w:rFonts w:ascii="標楷體" w:eastAsia="標楷體" w:hAnsi="標楷體" w:cs="標楷體"/>
          <w:color w:val="000000" w:themeColor="text1"/>
        </w:rPr>
        <w:t>翼</w:t>
      </w:r>
      <w:r w:rsidR="004341C9">
        <w:rPr>
          <w:rFonts w:ascii="標楷體" w:eastAsia="標楷體" w:hAnsi="標楷體" w:cs="標楷體" w:hint="eastAsia"/>
          <w:color w:val="000000" w:themeColor="text1"/>
        </w:rPr>
        <w:t>12</w:t>
      </w:r>
      <w:r w:rsidRPr="00C01C50">
        <w:rPr>
          <w:rFonts w:ascii="標楷體" w:eastAsia="標楷體" w:hAnsi="標楷體" w:cs="標楷體"/>
          <w:color w:val="000000" w:themeColor="text1"/>
        </w:rPr>
        <w:t>樓</w:t>
      </w:r>
      <w:r w:rsidR="004341C9">
        <w:rPr>
          <w:rFonts w:ascii="標楷體" w:eastAsia="標楷體" w:hAnsi="標楷體" w:cs="標楷體" w:hint="eastAsia"/>
          <w:color w:val="000000" w:themeColor="text1"/>
        </w:rPr>
        <w:t xml:space="preserve"> </w:t>
      </w:r>
      <w:r w:rsidR="004341C9" w:rsidRPr="004341C9">
        <w:rPr>
          <w:rFonts w:ascii="標楷體" w:eastAsia="標楷體" w:hAnsi="標楷體" w:cs="標楷體" w:hint="eastAsia"/>
          <w:color w:val="000000" w:themeColor="text1"/>
        </w:rPr>
        <w:t>政制及內地事務局</w:t>
      </w:r>
      <w:r w:rsidR="004341C9">
        <w:rPr>
          <w:rFonts w:ascii="標楷體" w:eastAsia="標楷體" w:hAnsi="標楷體" w:cs="標楷體" w:hint="eastAsia"/>
          <w:color w:val="000000" w:themeColor="text1"/>
        </w:rPr>
        <w:t xml:space="preserve"> </w:t>
      </w:r>
    </w:p>
    <w:p w14:paraId="1F76CC8A" w14:textId="15894243" w:rsidR="004341C9" w:rsidRPr="00C01C50" w:rsidRDefault="004341C9" w:rsidP="004341C9">
      <w:pPr>
        <w:widowControl/>
        <w:spacing w:after="120"/>
        <w:jc w:val="both"/>
        <w:rPr>
          <w:rFonts w:ascii="標楷體" w:eastAsia="標楷體" w:hAnsi="標楷體" w:cs="標楷體"/>
          <w:color w:val="000000" w:themeColor="text1"/>
        </w:rPr>
      </w:pPr>
      <w:r w:rsidRPr="004341C9">
        <w:rPr>
          <w:rFonts w:ascii="標楷體" w:eastAsia="標楷體" w:hAnsi="標楷體" w:cs="標楷體" w:hint="eastAsia"/>
          <w:b/>
          <w:bCs/>
          <w:color w:val="000000" w:themeColor="text1"/>
        </w:rPr>
        <w:t>地址</w:t>
      </w:r>
      <w:r>
        <w:rPr>
          <w:rFonts w:ascii="標楷體" w:eastAsia="標楷體" w:hAnsi="標楷體" w:cs="標楷體" w:hint="eastAsia"/>
          <w:b/>
          <w:bCs/>
          <w:color w:val="000000" w:themeColor="text1"/>
        </w:rPr>
        <w:t>二</w:t>
      </w:r>
      <w:r>
        <w:rPr>
          <w:rFonts w:ascii="標楷體" w:eastAsia="標楷體" w:hAnsi="標楷體" w:cs="標楷體" w:hint="eastAsia"/>
          <w:color w:val="000000" w:themeColor="text1"/>
        </w:rPr>
        <w:t>：</w:t>
      </w:r>
      <w:r w:rsidRPr="00C01C50">
        <w:rPr>
          <w:rFonts w:ascii="標楷體" w:eastAsia="標楷體" w:hAnsi="標楷體" w:cs="標楷體"/>
          <w:color w:val="000000" w:themeColor="text1"/>
        </w:rPr>
        <w:t>香港添馬添美道2號</w:t>
      </w:r>
    </w:p>
    <w:p w14:paraId="6C1FEA92" w14:textId="5CE9C37D" w:rsidR="004341C9" w:rsidRPr="004341C9" w:rsidRDefault="004341C9">
      <w:pPr>
        <w:widowControl/>
        <w:spacing w:after="120"/>
        <w:jc w:val="both"/>
        <w:rPr>
          <w:rFonts w:ascii="標楷體" w:eastAsia="標楷體" w:hAnsi="標楷體" w:cs="標楷體"/>
          <w:color w:val="000000" w:themeColor="text1"/>
        </w:rPr>
      </w:pPr>
      <w:r w:rsidRPr="00C01C50">
        <w:rPr>
          <w:rFonts w:ascii="標楷體" w:eastAsia="標楷體" w:hAnsi="標楷體" w:cs="標楷體"/>
          <w:color w:val="000000" w:themeColor="text1"/>
        </w:rPr>
        <w:t>政府總部西翼26樓</w:t>
      </w:r>
      <w:r>
        <w:rPr>
          <w:rFonts w:ascii="標楷體" w:eastAsia="標楷體" w:hAnsi="標楷體" w:cs="標楷體" w:hint="eastAsia"/>
          <w:color w:val="000000" w:themeColor="text1"/>
        </w:rPr>
        <w:t xml:space="preserve"> </w:t>
      </w:r>
      <w:r w:rsidRPr="00C01C50">
        <w:rPr>
          <w:rFonts w:ascii="標楷體" w:eastAsia="標楷體" w:hAnsi="標楷體" w:cs="標楷體"/>
          <w:color w:val="000000" w:themeColor="text1"/>
        </w:rPr>
        <w:t>特首政策組施政報告小組</w:t>
      </w:r>
    </w:p>
    <w:p w14:paraId="06A08FE5" w14:textId="69974A1F" w:rsidR="00EB79C3" w:rsidRPr="00C01C50" w:rsidRDefault="00000000" w:rsidP="004341C9">
      <w:pPr>
        <w:widowControl/>
        <w:spacing w:after="120"/>
        <w:jc w:val="both"/>
        <w:rPr>
          <w:rFonts w:ascii="標楷體" w:eastAsia="標楷體" w:hAnsi="標楷體" w:cs="標楷體"/>
          <w:color w:val="000000" w:themeColor="text1"/>
        </w:rPr>
      </w:pPr>
      <w:proofErr w:type="gramStart"/>
      <w:r w:rsidRPr="00C01C50">
        <w:rPr>
          <w:rFonts w:ascii="標楷體" w:eastAsia="標楷體" w:hAnsi="標楷體" w:cs="標楷體"/>
          <w:color w:val="000000" w:themeColor="text1"/>
        </w:rPr>
        <w:t>（</w:t>
      </w:r>
      <w:proofErr w:type="gramEnd"/>
      <w:r w:rsidRPr="00C01C50">
        <w:rPr>
          <w:rFonts w:ascii="標楷體" w:eastAsia="標楷體" w:hAnsi="標楷體" w:cs="標楷體"/>
          <w:color w:val="000000" w:themeColor="text1"/>
        </w:rPr>
        <w:t>通過電子郵</w:t>
      </w:r>
      <w:r w:rsidRPr="00751087">
        <w:rPr>
          <w:rFonts w:ascii="標楷體" w:eastAsia="標楷體" w:hAnsi="標楷體" w:cs="標楷體"/>
        </w:rPr>
        <w:t>件：</w:t>
      </w:r>
      <w:hyperlink r:id="rId9" w:history="1">
        <w:r w:rsidR="004341C9" w:rsidRPr="00751087">
          <w:rPr>
            <w:rStyle w:val="a6"/>
            <w:rFonts w:ascii="標楷體" w:eastAsia="標楷體" w:hAnsi="標楷體" w:cs="標楷體"/>
            <w:color w:val="auto"/>
          </w:rPr>
          <w:t>hk5yplan@cmab.gov.hk</w:t>
        </w:r>
      </w:hyperlink>
      <w:r w:rsidR="004341C9" w:rsidRPr="00751087">
        <w:rPr>
          <w:rFonts w:ascii="標楷體" w:eastAsia="標楷體" w:hAnsi="標楷體" w:cs="標楷體" w:hint="eastAsia"/>
        </w:rPr>
        <w:t xml:space="preserve">, </w:t>
      </w:r>
      <w:r w:rsidRPr="00751087">
        <w:rPr>
          <w:rFonts w:ascii="標楷體" w:eastAsia="標楷體" w:hAnsi="標楷體" w:cs="標楷體"/>
          <w:highlight w:val="white"/>
          <w:u w:val="single"/>
        </w:rPr>
        <w:t>policyaddres</w:t>
      </w:r>
      <w:r w:rsidRPr="00C01C50">
        <w:rPr>
          <w:rFonts w:ascii="標楷體" w:eastAsia="標楷體" w:hAnsi="標楷體" w:cs="標楷體"/>
          <w:color w:val="000000" w:themeColor="text1"/>
          <w:highlight w:val="white"/>
          <w:u w:val="single"/>
        </w:rPr>
        <w:t>s@cepu.gov.hk</w:t>
      </w:r>
      <w:r w:rsidRPr="00C01C50">
        <w:rPr>
          <w:rFonts w:ascii="標楷體" w:eastAsia="標楷體" w:hAnsi="標楷體" w:cs="標楷體"/>
          <w:color w:val="000000" w:themeColor="text1"/>
        </w:rPr>
        <w:t xml:space="preserve"> </w:t>
      </w:r>
      <w:proofErr w:type="gramStart"/>
      <w:r w:rsidRPr="00C01C50">
        <w:rPr>
          <w:rFonts w:ascii="標楷體" w:eastAsia="標楷體" w:hAnsi="標楷體" w:cs="標楷體"/>
          <w:color w:val="000000" w:themeColor="text1"/>
        </w:rPr>
        <w:t>）</w:t>
      </w:r>
      <w:proofErr w:type="gramEnd"/>
      <w:r w:rsidRPr="00C01C50">
        <w:rPr>
          <w:rFonts w:ascii="標楷體" w:eastAsia="標楷體" w:hAnsi="標楷體" w:cs="標楷體"/>
          <w:color w:val="000000" w:themeColor="text1"/>
        </w:rPr>
        <w:t xml:space="preserve"> </w:t>
      </w:r>
    </w:p>
    <w:p w14:paraId="58BCE7B5" w14:textId="77777777" w:rsidR="00EB79C3" w:rsidRPr="00C01C50" w:rsidRDefault="00000000">
      <w:pPr>
        <w:widowControl/>
        <w:spacing w:before="360" w:after="120"/>
        <w:jc w:val="center"/>
        <w:rPr>
          <w:rFonts w:ascii="標楷體" w:eastAsia="標楷體" w:hAnsi="標楷體" w:cs="標楷體"/>
          <w:b/>
          <w:bCs/>
          <w:color w:val="000000" w:themeColor="text1"/>
        </w:rPr>
      </w:pPr>
      <w:r w:rsidRPr="00C01C50">
        <w:rPr>
          <w:rFonts w:ascii="標楷體" w:eastAsia="標楷體" w:hAnsi="標楷體" w:cs="標楷體"/>
          <w:b/>
          <w:bCs/>
          <w:color w:val="000000" w:themeColor="text1"/>
        </w:rPr>
        <w:t>香港復康會</w:t>
      </w:r>
    </w:p>
    <w:p w14:paraId="6211E856" w14:textId="77777777" w:rsidR="00EB79C3" w:rsidRPr="00C01C50" w:rsidRDefault="00000000">
      <w:pPr>
        <w:widowControl/>
        <w:spacing w:after="360"/>
        <w:jc w:val="center"/>
        <w:rPr>
          <w:rFonts w:ascii="標楷體" w:eastAsia="標楷體" w:hAnsi="標楷體" w:cs="標楷體"/>
          <w:b/>
          <w:bCs/>
          <w:color w:val="000000" w:themeColor="text1"/>
          <w:u w:val="single"/>
        </w:rPr>
      </w:pPr>
      <w:r w:rsidRPr="00C01C50">
        <w:rPr>
          <w:rFonts w:ascii="標楷體" w:eastAsia="標楷體" w:hAnsi="標楷體" w:cs="標楷體"/>
          <w:b/>
          <w:bCs/>
          <w:color w:val="000000" w:themeColor="text1"/>
          <w:u w:val="single"/>
        </w:rPr>
        <w:t>就香港首</w:t>
      </w:r>
      <w:proofErr w:type="gramStart"/>
      <w:r w:rsidRPr="00C01C50">
        <w:rPr>
          <w:rFonts w:ascii="標楷體" w:eastAsia="標楷體" w:hAnsi="標楷體" w:cs="標楷體"/>
          <w:b/>
          <w:bCs/>
          <w:color w:val="000000" w:themeColor="text1"/>
          <w:u w:val="single"/>
        </w:rPr>
        <w:t>個</w:t>
      </w:r>
      <w:proofErr w:type="gramEnd"/>
      <w:r w:rsidRPr="00C01C50">
        <w:rPr>
          <w:rFonts w:ascii="標楷體" w:eastAsia="標楷體" w:hAnsi="標楷體" w:cs="標楷體"/>
          <w:b/>
          <w:bCs/>
          <w:color w:val="000000" w:themeColor="text1"/>
          <w:u w:val="single"/>
        </w:rPr>
        <w:t>五年規劃及2026年《施政報告》公眾諮詢提交意見書</w:t>
      </w:r>
    </w:p>
    <w:p w14:paraId="640B266C" w14:textId="77777777" w:rsidR="00EB79C3" w:rsidRPr="00C01C50" w:rsidRDefault="00000000">
      <w:pPr>
        <w:widowControl/>
        <w:spacing w:after="120"/>
        <w:ind w:firstLine="480"/>
        <w:jc w:val="both"/>
        <w:rPr>
          <w:rFonts w:ascii="標楷體" w:eastAsia="標楷體" w:hAnsi="標楷體" w:cs="標楷體"/>
          <w:color w:val="000000" w:themeColor="text1"/>
        </w:rPr>
      </w:pPr>
      <w:r w:rsidRPr="00C01C50">
        <w:rPr>
          <w:rFonts w:ascii="標楷體" w:eastAsia="標楷體" w:hAnsi="標楷體" w:cs="標楷體"/>
          <w:color w:val="000000" w:themeColor="text1"/>
        </w:rPr>
        <w:t>就特區政府</w:t>
      </w:r>
      <w:r w:rsidRPr="00C01C50">
        <w:rPr>
          <w:rFonts w:ascii="標楷體" w:eastAsia="標楷體" w:hAnsi="標楷體" w:cs="標楷體"/>
          <w:color w:val="000000" w:themeColor="text1"/>
          <w:highlight w:val="white"/>
        </w:rPr>
        <w:t>首</w:t>
      </w:r>
      <w:proofErr w:type="gramStart"/>
      <w:r w:rsidRPr="00C01C50">
        <w:rPr>
          <w:rFonts w:ascii="標楷體" w:eastAsia="標楷體" w:hAnsi="標楷體" w:cs="標楷體"/>
          <w:color w:val="000000" w:themeColor="text1"/>
          <w:highlight w:val="white"/>
        </w:rPr>
        <w:t>個</w:t>
      </w:r>
      <w:proofErr w:type="gramEnd"/>
      <w:r w:rsidRPr="00C01C50">
        <w:rPr>
          <w:rFonts w:ascii="標楷體" w:eastAsia="標楷體" w:hAnsi="標楷體" w:cs="標楷體"/>
          <w:color w:val="000000" w:themeColor="text1"/>
          <w:highlight w:val="white"/>
        </w:rPr>
        <w:t>五年規</w:t>
      </w:r>
      <w:r w:rsidRPr="00C01C50">
        <w:rPr>
          <w:rFonts w:ascii="標楷體" w:eastAsia="標楷體" w:hAnsi="標楷體" w:cs="標楷體"/>
          <w:color w:val="000000" w:themeColor="text1"/>
        </w:rPr>
        <w:t>劃及新一份《施政報告》所展開的公眾諮詢，香港</w:t>
      </w:r>
      <w:proofErr w:type="gramStart"/>
      <w:r w:rsidRPr="00C01C50">
        <w:rPr>
          <w:rFonts w:ascii="標楷體" w:eastAsia="標楷體" w:hAnsi="標楷體" w:cs="標楷體"/>
          <w:color w:val="000000" w:themeColor="text1"/>
        </w:rPr>
        <w:t>復康會現</w:t>
      </w:r>
      <w:proofErr w:type="gramEnd"/>
      <w:r w:rsidRPr="00C01C50">
        <w:rPr>
          <w:rFonts w:ascii="標楷體" w:eastAsia="標楷體" w:hAnsi="標楷體" w:cs="標楷體"/>
          <w:color w:val="000000" w:themeColor="text1"/>
        </w:rPr>
        <w:t>附上意見書。</w:t>
      </w:r>
    </w:p>
    <w:p w14:paraId="1ACDEEC1" w14:textId="77777777" w:rsidR="00EB79C3" w:rsidRPr="00C01C50" w:rsidRDefault="00000000">
      <w:pPr>
        <w:widowControl/>
        <w:spacing w:after="120"/>
        <w:ind w:firstLine="480"/>
        <w:jc w:val="both"/>
        <w:rPr>
          <w:rFonts w:ascii="標楷體" w:eastAsia="標楷體" w:hAnsi="標楷體" w:cs="標楷體"/>
          <w:color w:val="000000" w:themeColor="text1"/>
        </w:rPr>
      </w:pPr>
      <w:r w:rsidRPr="00C01C50">
        <w:rPr>
          <w:rFonts w:ascii="標楷體" w:eastAsia="標楷體" w:hAnsi="標楷體" w:cs="標楷體"/>
          <w:color w:val="000000" w:themeColor="text1"/>
        </w:rPr>
        <w:t>香港</w:t>
      </w:r>
      <w:proofErr w:type="gramStart"/>
      <w:r w:rsidRPr="00C01C50">
        <w:rPr>
          <w:rFonts w:ascii="標楷體" w:eastAsia="標楷體" w:hAnsi="標楷體" w:cs="標楷體"/>
          <w:color w:val="000000" w:themeColor="text1"/>
        </w:rPr>
        <w:t>復康會於</w:t>
      </w:r>
      <w:proofErr w:type="gramEnd"/>
      <w:r w:rsidRPr="00C01C50">
        <w:rPr>
          <w:rFonts w:ascii="標楷體" w:eastAsia="標楷體" w:hAnsi="標楷體" w:cs="標楷體"/>
          <w:color w:val="000000" w:themeColor="text1"/>
        </w:rPr>
        <w:t xml:space="preserve"> 1959 年成立，是政府認可的註冊慈善團體。我們致力透過創新復康服務及賦權殘疾或面對健康挑戰的人士，倡議全人健康、社會參與以及共融有利的環境。本會在香港及內地設有三十</w:t>
      </w:r>
      <w:proofErr w:type="gramStart"/>
      <w:r w:rsidRPr="00C01C50">
        <w:rPr>
          <w:rFonts w:ascii="標楷體" w:eastAsia="標楷體" w:hAnsi="標楷體" w:cs="標楷體"/>
          <w:color w:val="000000" w:themeColor="text1"/>
        </w:rPr>
        <w:t>個</w:t>
      </w:r>
      <w:proofErr w:type="gramEnd"/>
      <w:r w:rsidRPr="00C01C50">
        <w:rPr>
          <w:rFonts w:ascii="標楷體" w:eastAsia="標楷體" w:hAnsi="標楷體" w:cs="標楷體"/>
          <w:color w:val="000000" w:themeColor="text1"/>
        </w:rPr>
        <w:t xml:space="preserve">服務點，提供基層醫療、復康、持續照顧、就業支援、無障礙運輸及旅遊服務等，同時支援照顧者及提供社區安寧照顧服務。 </w:t>
      </w:r>
    </w:p>
    <w:p w14:paraId="694D1CB4" w14:textId="08EADD52" w:rsidR="00EB79C3" w:rsidRPr="00C01C50" w:rsidRDefault="00000000">
      <w:pPr>
        <w:widowControl/>
        <w:spacing w:after="120"/>
        <w:ind w:firstLine="480"/>
        <w:jc w:val="both"/>
        <w:rPr>
          <w:rFonts w:ascii="標楷體" w:eastAsia="標楷體" w:hAnsi="標楷體" w:cs="標楷體"/>
          <w:color w:val="000000" w:themeColor="text1"/>
        </w:rPr>
      </w:pPr>
      <w:r w:rsidRPr="00C01C50">
        <w:rPr>
          <w:rFonts w:ascii="標楷體" w:eastAsia="標楷體" w:hAnsi="標楷體" w:cs="標楷體"/>
          <w:color w:val="000000" w:themeColor="text1"/>
        </w:rPr>
        <w:t>同時，本會積極倡議社會共融、無障礙環境、交通及旅遊政策的提昇。因此，本會就香港</w:t>
      </w:r>
      <w:r w:rsidRPr="00C01C50">
        <w:rPr>
          <w:rFonts w:ascii="標楷體" w:eastAsia="標楷體" w:hAnsi="標楷體" w:cs="標楷體"/>
          <w:color w:val="000000" w:themeColor="text1"/>
          <w:highlight w:val="white"/>
        </w:rPr>
        <w:t>首</w:t>
      </w:r>
      <w:proofErr w:type="gramStart"/>
      <w:r w:rsidRPr="00C01C50">
        <w:rPr>
          <w:rFonts w:ascii="標楷體" w:eastAsia="標楷體" w:hAnsi="標楷體" w:cs="標楷體"/>
          <w:color w:val="000000" w:themeColor="text1"/>
          <w:highlight w:val="white"/>
        </w:rPr>
        <w:t>個</w:t>
      </w:r>
      <w:proofErr w:type="gramEnd"/>
      <w:r w:rsidRPr="00C01C50">
        <w:rPr>
          <w:rFonts w:ascii="標楷體" w:eastAsia="標楷體" w:hAnsi="標楷體" w:cs="標楷體"/>
          <w:color w:val="000000" w:themeColor="text1"/>
          <w:highlight w:val="white"/>
        </w:rPr>
        <w:t>五年規</w:t>
      </w:r>
      <w:r w:rsidRPr="00C01C50">
        <w:rPr>
          <w:rFonts w:ascii="標楷體" w:eastAsia="標楷體" w:hAnsi="標楷體" w:cs="標楷體"/>
          <w:color w:val="000000" w:themeColor="text1"/>
        </w:rPr>
        <w:t>劃及 2026 年《施政報告》的建議聚焦出十大範疇：無障礙環境、設施與智慧出行、無障礙運輸政策、殘疾人士就業及培訓支援、</w:t>
      </w:r>
      <w:r w:rsidR="00596E92" w:rsidRPr="00596E92">
        <w:rPr>
          <w:rFonts w:ascii="標楷體" w:eastAsia="標楷體" w:hAnsi="標楷體" w:cs="標楷體" w:hint="eastAsia"/>
          <w:color w:val="000000" w:themeColor="text1"/>
        </w:rPr>
        <w:t>慢性疾病社區復康服務發展</w:t>
      </w:r>
      <w:r w:rsidRPr="00C01C50">
        <w:rPr>
          <w:rFonts w:ascii="標楷體" w:eastAsia="標楷體" w:hAnsi="標楷體" w:cs="標楷體"/>
          <w:color w:val="000000" w:themeColor="text1"/>
        </w:rPr>
        <w:t>、殘疾人士和病人自助組織支援、罕見疾病支援、跨境照顧、晚期照顧、照顧者支援以及政策制定諮詢架構。</w:t>
      </w:r>
    </w:p>
    <w:p w14:paraId="4E53273E" w14:textId="77777777" w:rsidR="00EB79C3" w:rsidRPr="00C01C50" w:rsidRDefault="00EB79C3">
      <w:pPr>
        <w:widowControl/>
        <w:spacing w:after="120"/>
        <w:jc w:val="both"/>
        <w:rPr>
          <w:rFonts w:ascii="標楷體" w:eastAsia="標楷體" w:hAnsi="標楷體" w:cs="標楷體"/>
          <w:color w:val="000000" w:themeColor="text1"/>
          <w:highlight w:val="yellow"/>
        </w:rPr>
      </w:pPr>
    </w:p>
    <w:p w14:paraId="6715470B" w14:textId="77777777" w:rsidR="00EB79C3" w:rsidRPr="00C01C50" w:rsidRDefault="00000000">
      <w:pPr>
        <w:widowControl/>
        <w:spacing w:after="120"/>
        <w:ind w:firstLine="480"/>
        <w:jc w:val="both"/>
        <w:rPr>
          <w:rFonts w:ascii="標楷體" w:eastAsia="標楷體" w:hAnsi="標楷體" w:cs="標楷體"/>
          <w:color w:val="000000" w:themeColor="text1"/>
        </w:rPr>
      </w:pPr>
      <w:r w:rsidRPr="00C01C50">
        <w:rPr>
          <w:rFonts w:ascii="標楷體" w:eastAsia="標楷體" w:hAnsi="標楷體" w:cs="標楷體"/>
          <w:color w:val="000000" w:themeColor="text1"/>
        </w:rPr>
        <w:t>如有任何查詢，請致電 2534 3353 與本會研究及倡議中心聯絡。</w:t>
      </w:r>
    </w:p>
    <w:p w14:paraId="365362D0" w14:textId="77777777" w:rsidR="00EB79C3" w:rsidRPr="00C01C50" w:rsidRDefault="00000000">
      <w:pPr>
        <w:widowControl/>
        <w:spacing w:after="120"/>
        <w:ind w:firstLine="480"/>
        <w:jc w:val="both"/>
        <w:rPr>
          <w:rFonts w:ascii="標楷體" w:eastAsia="標楷體" w:hAnsi="標楷體" w:cs="標楷體"/>
          <w:color w:val="000000" w:themeColor="text1"/>
        </w:rPr>
      </w:pPr>
      <w:r w:rsidRPr="00C01C50">
        <w:rPr>
          <w:rFonts w:ascii="標楷體" w:eastAsia="標楷體" w:hAnsi="標楷體" w:cs="標楷體"/>
          <w:color w:val="000000" w:themeColor="text1"/>
        </w:rPr>
        <w:t xml:space="preserve">謝謝！ </w:t>
      </w:r>
    </w:p>
    <w:p w14:paraId="38029C08" w14:textId="77777777" w:rsidR="00EB79C3" w:rsidRPr="00C01C50" w:rsidRDefault="00000000">
      <w:pPr>
        <w:widowControl/>
        <w:spacing w:after="120"/>
        <w:ind w:firstLine="5954"/>
        <w:jc w:val="both"/>
        <w:rPr>
          <w:rFonts w:ascii="標楷體" w:eastAsia="標楷體" w:hAnsi="標楷體" w:cs="標楷體"/>
          <w:color w:val="000000" w:themeColor="text1"/>
        </w:rPr>
      </w:pPr>
      <w:r w:rsidRPr="00C01C50">
        <w:rPr>
          <w:rFonts w:ascii="標楷體" w:eastAsia="標楷體" w:hAnsi="標楷體" w:cs="標楷體"/>
          <w:color w:val="000000" w:themeColor="text1"/>
        </w:rPr>
        <w:t>香港</w:t>
      </w:r>
      <w:proofErr w:type="gramStart"/>
      <w:r w:rsidRPr="00C01C50">
        <w:rPr>
          <w:rFonts w:ascii="標楷體" w:eastAsia="標楷體" w:hAnsi="標楷體" w:cs="標楷體"/>
          <w:color w:val="000000" w:themeColor="text1"/>
        </w:rPr>
        <w:t>復康會行政</w:t>
      </w:r>
      <w:proofErr w:type="gramEnd"/>
      <w:r w:rsidRPr="00C01C50">
        <w:rPr>
          <w:rFonts w:ascii="標楷體" w:eastAsia="標楷體" w:hAnsi="標楷體" w:cs="標楷體"/>
          <w:color w:val="000000" w:themeColor="text1"/>
        </w:rPr>
        <w:t>總裁</w:t>
      </w:r>
    </w:p>
    <w:p w14:paraId="5728A9E9" w14:textId="77777777" w:rsidR="00EB79C3" w:rsidRPr="00C01C50" w:rsidRDefault="00000000">
      <w:pPr>
        <w:widowControl/>
        <w:spacing w:after="120"/>
        <w:ind w:firstLine="5954"/>
        <w:jc w:val="both"/>
        <w:rPr>
          <w:rFonts w:ascii="標楷體" w:eastAsia="標楷體" w:hAnsi="標楷體" w:cs="標楷體"/>
          <w:color w:val="000000" w:themeColor="text1"/>
        </w:rPr>
      </w:pPr>
      <w:r w:rsidRPr="00C01C50">
        <w:rPr>
          <w:rFonts w:ascii="標楷體" w:eastAsia="標楷體" w:hAnsi="標楷體" w:cs="標楷體"/>
          <w:color w:val="000000" w:themeColor="text1"/>
        </w:rPr>
        <w:t xml:space="preserve"> 梁佩如博士</w:t>
      </w:r>
    </w:p>
    <w:p w14:paraId="4E0B22AA" w14:textId="77777777" w:rsidR="00EB79C3" w:rsidRPr="00C01C50" w:rsidRDefault="00EB79C3">
      <w:pPr>
        <w:widowControl/>
        <w:spacing w:after="120"/>
        <w:jc w:val="both"/>
        <w:rPr>
          <w:rFonts w:ascii="標楷體" w:eastAsia="標楷體" w:hAnsi="標楷體" w:cs="標楷體"/>
          <w:color w:val="000000" w:themeColor="text1"/>
        </w:rPr>
      </w:pPr>
    </w:p>
    <w:p w14:paraId="06B50730" w14:textId="0D2A5286" w:rsidR="00EB79C3" w:rsidRPr="004341C9" w:rsidRDefault="00000000">
      <w:pPr>
        <w:rPr>
          <w:rFonts w:ascii="標楷體" w:eastAsia="標楷體" w:hAnsi="標楷體" w:cs="標楷體"/>
          <w:color w:val="000000" w:themeColor="text1"/>
        </w:rPr>
      </w:pPr>
      <w:r w:rsidRPr="00C01C50">
        <w:rPr>
          <w:rFonts w:ascii="標楷體" w:eastAsia="標楷體" w:hAnsi="標楷體" w:cs="標楷體"/>
          <w:color w:val="000000" w:themeColor="text1"/>
        </w:rPr>
        <w:t>2026年8月</w:t>
      </w:r>
      <w:r w:rsidR="00CC7CC8" w:rsidRPr="00C01C50">
        <w:rPr>
          <w:rFonts w:ascii="標楷體" w:eastAsia="標楷體" w:hAnsi="標楷體" w:cs="標楷體" w:hint="eastAsia"/>
          <w:color w:val="000000" w:themeColor="text1"/>
        </w:rPr>
        <w:t>10</w:t>
      </w:r>
      <w:r w:rsidRPr="00C01C50">
        <w:rPr>
          <w:rFonts w:ascii="標楷體" w:eastAsia="標楷體" w:hAnsi="標楷體" w:cs="標楷體"/>
          <w:color w:val="000000" w:themeColor="text1"/>
        </w:rPr>
        <w:t>日</w:t>
      </w:r>
    </w:p>
    <w:p w14:paraId="69E16891" w14:textId="77777777" w:rsidR="00EB79C3" w:rsidRPr="00C01C50" w:rsidRDefault="00000000">
      <w:pPr>
        <w:pStyle w:val="4"/>
        <w:spacing w:line="276" w:lineRule="auto"/>
        <w:jc w:val="center"/>
        <w:rPr>
          <w:rFonts w:ascii="標楷體" w:eastAsia="標楷體" w:hAnsi="標楷體" w:cs="標楷體"/>
          <w:color w:val="000000" w:themeColor="text1"/>
          <w:u w:val="single"/>
        </w:rPr>
      </w:pPr>
      <w:bookmarkStart w:id="0" w:name="_heading=h.hfefggh6x3dg" w:colFirst="0" w:colLast="0"/>
      <w:bookmarkEnd w:id="0"/>
      <w:r w:rsidRPr="00C01C50">
        <w:rPr>
          <w:rFonts w:ascii="標楷體" w:eastAsia="標楷體" w:hAnsi="標楷體" w:cs="標楷體"/>
          <w:color w:val="000000" w:themeColor="text1"/>
          <w:u w:val="single"/>
        </w:rPr>
        <w:lastRenderedPageBreak/>
        <w:t>香港</w:t>
      </w:r>
      <w:proofErr w:type="gramStart"/>
      <w:r w:rsidRPr="00C01C50">
        <w:rPr>
          <w:rFonts w:ascii="標楷體" w:eastAsia="標楷體" w:hAnsi="標楷體" w:cs="標楷體"/>
          <w:color w:val="000000" w:themeColor="text1"/>
          <w:u w:val="single"/>
        </w:rPr>
        <w:t>復康會就</w:t>
      </w:r>
      <w:proofErr w:type="gramEnd"/>
      <w:r w:rsidRPr="00C01C50">
        <w:rPr>
          <w:rFonts w:ascii="標楷體" w:eastAsia="標楷體" w:hAnsi="標楷體" w:cs="標楷體"/>
          <w:color w:val="000000" w:themeColor="text1"/>
          <w:u w:val="single"/>
        </w:rPr>
        <w:t>香港首</w:t>
      </w:r>
      <w:proofErr w:type="gramStart"/>
      <w:r w:rsidRPr="00C01C50">
        <w:rPr>
          <w:rFonts w:ascii="標楷體" w:eastAsia="標楷體" w:hAnsi="標楷體" w:cs="標楷體"/>
          <w:color w:val="000000" w:themeColor="text1"/>
          <w:u w:val="single"/>
        </w:rPr>
        <w:t>個</w:t>
      </w:r>
      <w:proofErr w:type="gramEnd"/>
      <w:r w:rsidRPr="00C01C50">
        <w:rPr>
          <w:rFonts w:ascii="標楷體" w:eastAsia="標楷體" w:hAnsi="標楷體" w:cs="標楷體"/>
          <w:color w:val="000000" w:themeColor="text1"/>
          <w:u w:val="single"/>
        </w:rPr>
        <w:t>五年規劃及2026年《施政報告》公眾諮詢意見書</w:t>
      </w:r>
    </w:p>
    <w:p w14:paraId="0775825B" w14:textId="77777777" w:rsidR="00EB79C3" w:rsidRPr="00C01C50" w:rsidRDefault="00000000">
      <w:pPr>
        <w:pStyle w:val="4"/>
        <w:spacing w:line="276" w:lineRule="auto"/>
        <w:jc w:val="center"/>
        <w:rPr>
          <w:rFonts w:ascii="標楷體" w:eastAsia="標楷體" w:hAnsi="標楷體" w:cs="標楷體"/>
          <w:color w:val="000000" w:themeColor="text1"/>
        </w:rPr>
      </w:pPr>
      <w:bookmarkStart w:id="1" w:name="_heading=h.yf87ahgfrdbb" w:colFirst="0" w:colLast="0"/>
      <w:bookmarkEnd w:id="1"/>
      <w:r w:rsidRPr="00C01C50">
        <w:rPr>
          <w:rFonts w:ascii="標楷體" w:eastAsia="標楷體" w:hAnsi="標楷體" w:cs="標楷體"/>
          <w:color w:val="000000" w:themeColor="text1"/>
        </w:rPr>
        <w:t>執行摘要</w:t>
      </w:r>
      <w:proofErr w:type="gramStart"/>
      <w:r w:rsidRPr="00C01C50">
        <w:rPr>
          <w:rFonts w:ascii="標楷體" w:eastAsia="標楷體" w:hAnsi="標楷體" w:cs="標楷體"/>
          <w:color w:val="000000" w:themeColor="text1"/>
        </w:rPr>
        <w:t>︰</w:t>
      </w:r>
      <w:proofErr w:type="gramEnd"/>
      <w:r w:rsidRPr="00C01C50">
        <w:rPr>
          <w:rFonts w:ascii="標楷體" w:eastAsia="標楷體" w:hAnsi="標楷體" w:cs="標楷體"/>
          <w:color w:val="000000" w:themeColor="text1"/>
        </w:rPr>
        <w:t xml:space="preserve">十大範疇倡議焦點 </w:t>
      </w:r>
      <w:proofErr w:type="gramStart"/>
      <w:r w:rsidRPr="00C01C50">
        <w:rPr>
          <w:rFonts w:ascii="標楷體" w:eastAsia="標楷體" w:hAnsi="標楷體" w:cs="標楷體"/>
          <w:color w:val="000000" w:themeColor="text1"/>
        </w:rPr>
        <w:t>·</w:t>
      </w:r>
      <w:proofErr w:type="gramEnd"/>
      <w:r w:rsidRPr="00C01C50">
        <w:rPr>
          <w:rFonts w:ascii="標楷體" w:eastAsia="標楷體" w:hAnsi="標楷體" w:cs="標楷體"/>
          <w:color w:val="000000" w:themeColor="text1"/>
        </w:rPr>
        <w:t xml:space="preserve"> 五年願景逐步實現</w:t>
      </w:r>
    </w:p>
    <w:p w14:paraId="4216A451" w14:textId="77777777" w:rsidR="00EB79C3" w:rsidRPr="00C01C50" w:rsidRDefault="00EB79C3">
      <w:pPr>
        <w:rPr>
          <w:rFonts w:ascii="標楷體" w:eastAsia="標楷體" w:hAnsi="標楷體" w:cs="標楷體"/>
          <w:color w:val="000000" w:themeColor="text1"/>
        </w:rPr>
      </w:pPr>
    </w:p>
    <w:p w14:paraId="79AA874C" w14:textId="77777777" w:rsidR="00EB79C3" w:rsidRPr="00C01C50" w:rsidRDefault="00000000">
      <w:pPr>
        <w:ind w:firstLine="496"/>
        <w:rPr>
          <w:rFonts w:ascii="標楷體" w:eastAsia="標楷體" w:hAnsi="標楷體" w:cs="標楷體"/>
          <w:color w:val="000000" w:themeColor="text1"/>
        </w:rPr>
      </w:pPr>
      <w:r w:rsidRPr="00C01C50">
        <w:rPr>
          <w:rFonts w:ascii="標楷體" w:eastAsia="標楷體" w:hAnsi="標楷體" w:cs="標楷體"/>
          <w:color w:val="000000" w:themeColor="text1"/>
        </w:rPr>
        <w:t>為促進社會共融，並有系統地對接國家「十五五」規劃方向，同時應對本港人口老化和慢性病患者人數增加，本會建議本港首</w:t>
      </w:r>
      <w:proofErr w:type="gramStart"/>
      <w:r w:rsidRPr="00C01C50">
        <w:rPr>
          <w:rFonts w:ascii="標楷體" w:eastAsia="標楷體" w:hAnsi="標楷體" w:cs="標楷體"/>
          <w:color w:val="000000" w:themeColor="text1"/>
        </w:rPr>
        <w:t>個</w:t>
      </w:r>
      <w:proofErr w:type="gramEnd"/>
      <w:r w:rsidRPr="00C01C50">
        <w:rPr>
          <w:rFonts w:ascii="標楷體" w:eastAsia="標楷體" w:hAnsi="標楷體" w:cs="標楷體"/>
          <w:color w:val="000000" w:themeColor="text1"/>
        </w:rPr>
        <w:t>五年規劃應透過政策及服務的可持續化、數據化、智能化及市場化轉型，同時將「通用設計主流化」理念深度融入各項制度與措施，讓殘疾人士、長期及晚期病患者以及照顧</w:t>
      </w:r>
      <w:proofErr w:type="gramStart"/>
      <w:r w:rsidRPr="00C01C50">
        <w:rPr>
          <w:rFonts w:ascii="標楷體" w:eastAsia="標楷體" w:hAnsi="標楷體" w:cs="標楷體"/>
          <w:color w:val="000000" w:themeColor="text1"/>
        </w:rPr>
        <w:t>者均能公平</w:t>
      </w:r>
      <w:proofErr w:type="gramEnd"/>
      <w:r w:rsidRPr="00C01C50">
        <w:rPr>
          <w:rFonts w:ascii="標楷體" w:eastAsia="標楷體" w:hAnsi="標楷體" w:cs="標楷體"/>
          <w:color w:val="000000" w:themeColor="text1"/>
        </w:rPr>
        <w:t>共享社會發展成果。同時，本會期望香港在復康服務及創新模式上的經驗與實踐，能為國家「十五五」規劃的民生與共融發展提供參考與助力。秉持上述理念，本會就未來五年發展提出十大範疇的重點倡議，期望逐步建構更包容的社會，推動香港邁向關愛共融的智慧城市</w:t>
      </w:r>
      <w:proofErr w:type="gramStart"/>
      <w:r w:rsidRPr="00C01C50">
        <w:rPr>
          <w:rFonts w:ascii="標楷體" w:eastAsia="標楷體" w:hAnsi="標楷體" w:cs="標楷體"/>
          <w:color w:val="000000" w:themeColor="text1"/>
        </w:rPr>
        <w:t>︰</w:t>
      </w:r>
      <w:proofErr w:type="gramEnd"/>
    </w:p>
    <w:p w14:paraId="1E156094" w14:textId="77777777" w:rsidR="00EB79C3" w:rsidRPr="00C01C50" w:rsidRDefault="00EB79C3">
      <w:pPr>
        <w:rPr>
          <w:rFonts w:ascii="標楷體" w:eastAsia="標楷體" w:hAnsi="標楷體" w:cs="標楷體"/>
          <w:color w:val="000000" w:themeColor="text1"/>
        </w:rPr>
      </w:pPr>
    </w:p>
    <w:p w14:paraId="3526CBE2" w14:textId="77777777" w:rsidR="00EB79C3" w:rsidRPr="00C01C50" w:rsidRDefault="00000000">
      <w:pPr>
        <w:numPr>
          <w:ilvl w:val="0"/>
          <w:numId w:val="22"/>
        </w:numPr>
        <w:ind w:left="425"/>
        <w:rPr>
          <w:rFonts w:ascii="標楷體" w:eastAsia="標楷體" w:hAnsi="標楷體" w:cs="標楷體"/>
          <w:color w:val="000000" w:themeColor="text1"/>
        </w:rPr>
      </w:pPr>
      <w:r w:rsidRPr="00C01C50">
        <w:rPr>
          <w:rFonts w:ascii="標楷體" w:eastAsia="標楷體" w:hAnsi="標楷體" w:cs="標楷體"/>
          <w:color w:val="000000" w:themeColor="text1"/>
        </w:rPr>
        <w:t xml:space="preserve"> 無障礙環境、設施與智慧出行</w:t>
      </w:r>
      <w:proofErr w:type="gramStart"/>
      <w:r w:rsidRPr="00C01C50">
        <w:rPr>
          <w:rFonts w:ascii="標楷體" w:eastAsia="標楷體" w:hAnsi="標楷體" w:cs="標楷體"/>
          <w:color w:val="000000" w:themeColor="text1"/>
        </w:rPr>
        <w:t>︰</w:t>
      </w:r>
      <w:proofErr w:type="gramEnd"/>
    </w:p>
    <w:p w14:paraId="2C6866D5" w14:textId="77777777" w:rsidR="00EB79C3" w:rsidRPr="00C01C50" w:rsidRDefault="00000000">
      <w:pPr>
        <w:numPr>
          <w:ilvl w:val="0"/>
          <w:numId w:val="1"/>
        </w:numPr>
        <w:ind w:left="992"/>
        <w:rPr>
          <w:color w:val="000000" w:themeColor="text1"/>
        </w:rPr>
      </w:pPr>
      <w:r w:rsidRPr="00C01C50">
        <w:rPr>
          <w:rFonts w:ascii="標楷體" w:eastAsia="標楷體" w:hAnsi="標楷體" w:cs="標楷體"/>
          <w:b/>
          <w:bCs/>
          <w:color w:val="000000" w:themeColor="text1"/>
        </w:rPr>
        <w:t>配合國家「十五五」規劃「重點發展北部都會區」</w:t>
      </w:r>
      <w:r w:rsidRPr="00C01C50">
        <w:rPr>
          <w:rFonts w:ascii="標楷體" w:eastAsia="標楷體" w:hAnsi="標楷體" w:cs="標楷體"/>
          <w:color w:val="000000" w:themeColor="text1"/>
        </w:rPr>
        <w:t>，於「北部都會區諮詢委員會」增設由殘疾人士擔任的「無障礙諮詢委員」席位，確保規劃切合不同群體需要。</w:t>
      </w:r>
    </w:p>
    <w:p w14:paraId="3C3DC907" w14:textId="77777777" w:rsidR="00EB79C3" w:rsidRPr="00C01C50" w:rsidRDefault="00000000">
      <w:pPr>
        <w:numPr>
          <w:ilvl w:val="0"/>
          <w:numId w:val="1"/>
        </w:numPr>
        <w:ind w:left="992"/>
        <w:rPr>
          <w:color w:val="000000" w:themeColor="text1"/>
        </w:rPr>
      </w:pPr>
      <w:r w:rsidRPr="00C01C50">
        <w:rPr>
          <w:rFonts w:ascii="標楷體" w:eastAsia="標楷體" w:hAnsi="標楷體" w:cs="標楷體"/>
          <w:b/>
          <w:bCs/>
          <w:color w:val="000000" w:themeColor="text1"/>
        </w:rPr>
        <w:t>提升舊建築物暢通易達程度及安全性</w:t>
      </w:r>
      <w:r w:rsidRPr="00C01C50">
        <w:rPr>
          <w:rFonts w:ascii="標楷體" w:eastAsia="標楷體" w:hAnsi="標楷體" w:cs="標楷體"/>
          <w:color w:val="000000" w:themeColor="text1"/>
        </w:rPr>
        <w:t>，於五年內制定「舊樓宇無障礙改造方案及資助框架」，並設立清晰的成效指標，以推動改造進程及加強監管。</w:t>
      </w:r>
    </w:p>
    <w:p w14:paraId="2955EE9B" w14:textId="77777777" w:rsidR="00EB79C3" w:rsidRPr="00C01C50" w:rsidRDefault="00000000">
      <w:pPr>
        <w:numPr>
          <w:ilvl w:val="0"/>
          <w:numId w:val="1"/>
        </w:numPr>
        <w:ind w:left="992"/>
        <w:rPr>
          <w:color w:val="000000" w:themeColor="text1"/>
        </w:rPr>
      </w:pPr>
      <w:r w:rsidRPr="00C01C50">
        <w:rPr>
          <w:rFonts w:ascii="標楷體" w:eastAsia="標楷體" w:hAnsi="標楷體" w:cs="標楷體"/>
          <w:b/>
          <w:bCs/>
          <w:color w:val="000000" w:themeColor="text1"/>
        </w:rPr>
        <w:t>無障礙旅遊數據化應用</w:t>
      </w:r>
      <w:r w:rsidRPr="00C01C50">
        <w:rPr>
          <w:rFonts w:ascii="標楷體" w:eastAsia="標楷體" w:hAnsi="標楷體" w:cs="標楷體"/>
          <w:color w:val="000000" w:themeColor="text1"/>
        </w:rPr>
        <w:t>，推出整合無障礙資訊的實時旅遊地圖及人工智能行程規劃工具，並優化《設計手冊》對文化、體育及旅遊設施無障礙要求，以推動本港無障礙旅遊發展，並為國家相關工作提供參考。</w:t>
      </w:r>
    </w:p>
    <w:p w14:paraId="60AF7AB6" w14:textId="77777777" w:rsidR="00EB79C3" w:rsidRPr="00C01C50" w:rsidRDefault="00000000">
      <w:pPr>
        <w:numPr>
          <w:ilvl w:val="0"/>
          <w:numId w:val="1"/>
        </w:numPr>
        <w:ind w:left="992"/>
        <w:rPr>
          <w:color w:val="000000" w:themeColor="text1"/>
        </w:rPr>
      </w:pPr>
      <w:r w:rsidRPr="00C01C50">
        <w:rPr>
          <w:rFonts w:ascii="標楷體" w:eastAsia="標楷體" w:hAnsi="標楷體" w:cs="標楷體"/>
          <w:b/>
          <w:bCs/>
          <w:color w:val="000000" w:themeColor="text1"/>
        </w:rPr>
        <w:t>配合智能化發展一站式智慧出行服務</w:t>
      </w:r>
      <w:r w:rsidRPr="00C01C50">
        <w:rPr>
          <w:rFonts w:ascii="標楷體" w:eastAsia="標楷體" w:hAnsi="標楷體" w:cs="標楷體"/>
          <w:color w:val="000000" w:themeColor="text1"/>
        </w:rPr>
        <w:t>，政府牽頭整合各部門與</w:t>
      </w:r>
      <w:proofErr w:type="gramStart"/>
      <w:r w:rsidRPr="00C01C50">
        <w:rPr>
          <w:rFonts w:ascii="標楷體" w:eastAsia="標楷體" w:hAnsi="標楷體" w:cs="標楷體"/>
          <w:color w:val="000000" w:themeColor="text1"/>
        </w:rPr>
        <w:t>持份者無</w:t>
      </w:r>
      <w:proofErr w:type="gramEnd"/>
      <w:r w:rsidRPr="00C01C50">
        <w:rPr>
          <w:rFonts w:ascii="標楷體" w:eastAsia="標楷體" w:hAnsi="標楷體" w:cs="標楷體"/>
          <w:color w:val="000000" w:themeColor="text1"/>
        </w:rPr>
        <w:t xml:space="preserve">障礙數據，於「香港出行易」基礎上建立具開放介面及回饋機制的統一資料庫。 </w:t>
      </w:r>
    </w:p>
    <w:p w14:paraId="4703801E" w14:textId="77777777" w:rsidR="00EB79C3" w:rsidRPr="00C01C50" w:rsidRDefault="00000000">
      <w:pPr>
        <w:numPr>
          <w:ilvl w:val="0"/>
          <w:numId w:val="1"/>
        </w:numPr>
        <w:ind w:left="992"/>
        <w:rPr>
          <w:color w:val="000000" w:themeColor="text1"/>
        </w:rPr>
      </w:pPr>
      <w:r w:rsidRPr="00C01C50">
        <w:rPr>
          <w:rFonts w:ascii="標楷體" w:eastAsia="標楷體" w:hAnsi="標楷體" w:cs="標楷體"/>
          <w:b/>
          <w:bCs/>
          <w:color w:val="000000" w:themeColor="text1"/>
        </w:rPr>
        <w:t>完善無障礙防災應變機制</w:t>
      </w:r>
      <w:r w:rsidRPr="00C01C50">
        <w:rPr>
          <w:rFonts w:ascii="標楷體" w:eastAsia="標楷體" w:hAnsi="標楷體" w:cs="標楷體"/>
          <w:color w:val="000000" w:themeColor="text1"/>
        </w:rPr>
        <w:t>，研究及制定切合殘疾人士、長者及慢性病患者需要的專屬防災指引及應急預案。</w:t>
      </w:r>
    </w:p>
    <w:p w14:paraId="6C56DD3B" w14:textId="77777777" w:rsidR="00EB79C3" w:rsidRPr="00C01C50" w:rsidRDefault="00EB79C3">
      <w:pPr>
        <w:rPr>
          <w:rFonts w:ascii="標楷體" w:eastAsia="標楷體" w:hAnsi="標楷體" w:cs="標楷體"/>
          <w:color w:val="000000" w:themeColor="text1"/>
        </w:rPr>
      </w:pPr>
    </w:p>
    <w:p w14:paraId="5B721492" w14:textId="77777777" w:rsidR="00EB79C3" w:rsidRPr="00C01C50" w:rsidRDefault="00000000">
      <w:pPr>
        <w:numPr>
          <w:ilvl w:val="0"/>
          <w:numId w:val="22"/>
        </w:numPr>
        <w:ind w:left="425"/>
        <w:rPr>
          <w:rFonts w:ascii="標楷體" w:eastAsia="標楷體" w:hAnsi="標楷體" w:cs="標楷體"/>
          <w:color w:val="000000" w:themeColor="text1"/>
        </w:rPr>
      </w:pPr>
      <w:r w:rsidRPr="00C01C50">
        <w:rPr>
          <w:rFonts w:ascii="標楷體" w:eastAsia="標楷體" w:hAnsi="標楷體" w:cs="標楷體"/>
          <w:color w:val="000000" w:themeColor="text1"/>
        </w:rPr>
        <w:t xml:space="preserve"> 無障礙運輸政策</w:t>
      </w:r>
      <w:proofErr w:type="gramStart"/>
      <w:r w:rsidRPr="00C01C50">
        <w:rPr>
          <w:rFonts w:ascii="標楷體" w:eastAsia="標楷體" w:hAnsi="標楷體" w:cs="標楷體"/>
          <w:color w:val="000000" w:themeColor="text1"/>
        </w:rPr>
        <w:t>︰</w:t>
      </w:r>
      <w:proofErr w:type="gramEnd"/>
    </w:p>
    <w:p w14:paraId="428C13DC" w14:textId="77777777" w:rsidR="00EB79C3" w:rsidRPr="00C01C50" w:rsidRDefault="00000000">
      <w:pPr>
        <w:numPr>
          <w:ilvl w:val="0"/>
          <w:numId w:val="1"/>
        </w:numPr>
        <w:ind w:left="992"/>
        <w:rPr>
          <w:color w:val="000000" w:themeColor="text1"/>
        </w:rPr>
      </w:pPr>
      <w:r w:rsidRPr="00C01C50">
        <w:rPr>
          <w:rFonts w:ascii="標楷體" w:eastAsia="標楷體" w:hAnsi="標楷體" w:cs="標楷體"/>
          <w:b/>
          <w:bCs/>
          <w:color w:val="000000" w:themeColor="text1"/>
        </w:rPr>
        <w:t>配合國家「十五五」規劃列明「完善便利港澳居民在內地發展和生活政策措施」</w:t>
      </w:r>
      <w:r w:rsidRPr="00C01C50">
        <w:rPr>
          <w:rFonts w:ascii="標楷體" w:eastAsia="標楷體" w:hAnsi="標楷體" w:cs="標楷體"/>
          <w:color w:val="000000" w:themeColor="text1"/>
        </w:rPr>
        <w:t>，於五年內在至少一個口岸提供每日營運的政府資助</w:t>
      </w:r>
      <w:proofErr w:type="gramStart"/>
      <w:r w:rsidRPr="00C01C50">
        <w:rPr>
          <w:rFonts w:ascii="標楷體" w:eastAsia="標楷體" w:hAnsi="標楷體" w:cs="標楷體"/>
          <w:color w:val="000000" w:themeColor="text1"/>
        </w:rPr>
        <w:t>跨境無障礙</w:t>
      </w:r>
      <w:proofErr w:type="gramEnd"/>
      <w:r w:rsidRPr="00C01C50">
        <w:rPr>
          <w:rFonts w:ascii="標楷體" w:eastAsia="標楷體" w:hAnsi="標楷體" w:cs="標楷體"/>
          <w:color w:val="000000" w:themeColor="text1"/>
        </w:rPr>
        <w:t>車輛服務，同時妥善安排各過境口岸的無障礙車輛停泊、上落及等候空間。</w:t>
      </w:r>
    </w:p>
    <w:p w14:paraId="12E2AB34" w14:textId="77777777" w:rsidR="00EB79C3" w:rsidRPr="00C01C50" w:rsidRDefault="00000000">
      <w:pPr>
        <w:numPr>
          <w:ilvl w:val="0"/>
          <w:numId w:val="1"/>
        </w:numPr>
        <w:ind w:left="992"/>
        <w:rPr>
          <w:color w:val="000000" w:themeColor="text1"/>
        </w:rPr>
      </w:pPr>
      <w:r w:rsidRPr="00C01C50">
        <w:rPr>
          <w:rFonts w:ascii="標楷體" w:eastAsia="標楷體" w:hAnsi="標楷體" w:cs="標楷體"/>
          <w:b/>
          <w:bCs/>
          <w:color w:val="000000" w:themeColor="text1"/>
        </w:rPr>
        <w:t>五年內提升市區交通無障礙水平</w:t>
      </w:r>
      <w:r w:rsidRPr="00C01C50">
        <w:rPr>
          <w:rFonts w:ascii="標楷體" w:eastAsia="標楷體" w:hAnsi="標楷體" w:cs="標楷體"/>
          <w:color w:val="000000" w:themeColor="text1"/>
        </w:rPr>
        <w:t>，善用的士電動化及</w:t>
      </w:r>
      <w:proofErr w:type="gramStart"/>
      <w:r w:rsidRPr="00C01C50">
        <w:rPr>
          <w:rFonts w:ascii="標楷體" w:eastAsia="標楷體" w:hAnsi="標楷體" w:cs="標楷體"/>
          <w:color w:val="000000" w:themeColor="text1"/>
        </w:rPr>
        <w:t>網約車</w:t>
      </w:r>
      <w:proofErr w:type="gramEnd"/>
      <w:r w:rsidRPr="00C01C50">
        <w:rPr>
          <w:rFonts w:ascii="標楷體" w:eastAsia="標楷體" w:hAnsi="標楷體" w:cs="標楷體"/>
          <w:color w:val="000000" w:themeColor="text1"/>
        </w:rPr>
        <w:t>平台發展作契機，將可供輪椅上落的點對點交通工具比例提升至不少於40%；同時由政府提供財政誘因，要求專營巴士為車齡十年以下且僅設單一輪椅泊位的車輛加裝第二</w:t>
      </w:r>
      <w:proofErr w:type="gramStart"/>
      <w:r w:rsidRPr="00C01C50">
        <w:rPr>
          <w:rFonts w:ascii="標楷體" w:eastAsia="標楷體" w:hAnsi="標楷體" w:cs="標楷體"/>
          <w:color w:val="000000" w:themeColor="text1"/>
        </w:rPr>
        <w:t>個</w:t>
      </w:r>
      <w:proofErr w:type="gramEnd"/>
      <w:r w:rsidRPr="00C01C50">
        <w:rPr>
          <w:rFonts w:ascii="標楷體" w:eastAsia="標楷體" w:hAnsi="標楷體" w:cs="標楷體"/>
          <w:color w:val="000000" w:themeColor="text1"/>
        </w:rPr>
        <w:t>泊位，並於新購車輛全面採用雙輪椅泊位設計。</w:t>
      </w:r>
    </w:p>
    <w:p w14:paraId="1CCE99EC" w14:textId="77777777" w:rsidR="00EB79C3" w:rsidRPr="00C01C50" w:rsidRDefault="00EB79C3">
      <w:pPr>
        <w:rPr>
          <w:rFonts w:ascii="標楷體" w:eastAsia="標楷體" w:hAnsi="標楷體" w:cs="標楷體"/>
          <w:color w:val="000000" w:themeColor="text1"/>
        </w:rPr>
      </w:pPr>
    </w:p>
    <w:p w14:paraId="3CF3B6C5" w14:textId="77777777" w:rsidR="00EB79C3" w:rsidRPr="00C01C50" w:rsidRDefault="00000000">
      <w:pPr>
        <w:numPr>
          <w:ilvl w:val="0"/>
          <w:numId w:val="22"/>
        </w:numPr>
        <w:ind w:left="425"/>
        <w:rPr>
          <w:rFonts w:ascii="標楷體" w:eastAsia="標楷體" w:hAnsi="標楷體" w:cs="標楷體"/>
          <w:color w:val="000000" w:themeColor="text1"/>
        </w:rPr>
      </w:pPr>
      <w:r w:rsidRPr="00C01C50">
        <w:rPr>
          <w:rFonts w:ascii="標楷體" w:eastAsia="標楷體" w:hAnsi="標楷體" w:cs="標楷體"/>
          <w:color w:val="000000" w:themeColor="text1"/>
        </w:rPr>
        <w:t xml:space="preserve"> 殘疾人士就業及培訓支援</w:t>
      </w:r>
      <w:proofErr w:type="gramStart"/>
      <w:r w:rsidRPr="00C01C50">
        <w:rPr>
          <w:rFonts w:ascii="標楷體" w:eastAsia="標楷體" w:hAnsi="標楷體" w:cs="標楷體"/>
          <w:color w:val="000000" w:themeColor="text1"/>
        </w:rPr>
        <w:t>︰</w:t>
      </w:r>
      <w:proofErr w:type="gramEnd"/>
    </w:p>
    <w:p w14:paraId="6CB77AB5" w14:textId="77777777" w:rsidR="00EB79C3" w:rsidRPr="00C01C50" w:rsidRDefault="00000000">
      <w:pPr>
        <w:numPr>
          <w:ilvl w:val="0"/>
          <w:numId w:val="1"/>
        </w:numPr>
        <w:ind w:left="992"/>
        <w:rPr>
          <w:color w:val="000000" w:themeColor="text1"/>
        </w:rPr>
      </w:pPr>
      <w:r w:rsidRPr="00C01C50">
        <w:rPr>
          <w:rFonts w:ascii="標楷體" w:eastAsia="標楷體" w:hAnsi="標楷體" w:cs="標楷體"/>
          <w:b/>
          <w:bCs/>
          <w:color w:val="000000" w:themeColor="text1"/>
        </w:rPr>
        <w:t>利用智能化趨勢為殘疾</w:t>
      </w:r>
      <w:proofErr w:type="gramStart"/>
      <w:r w:rsidRPr="00C01C50">
        <w:rPr>
          <w:rFonts w:ascii="標楷體" w:eastAsia="標楷體" w:hAnsi="標楷體" w:cs="標楷體"/>
          <w:b/>
          <w:bCs/>
          <w:color w:val="000000" w:themeColor="text1"/>
        </w:rPr>
        <w:t>人士賦能</w:t>
      </w:r>
      <w:proofErr w:type="gramEnd"/>
      <w:r w:rsidRPr="00C01C50">
        <w:rPr>
          <w:rFonts w:ascii="標楷體" w:eastAsia="標楷體" w:hAnsi="標楷體" w:cs="標楷體"/>
          <w:color w:val="000000" w:themeColor="text1"/>
        </w:rPr>
        <w:t>，為有意修讀短期 AI 工具課程殘疾人士提供合理調適與支援；擴展「殘疾僱員支援計劃」資助範圍至購買 AI 工具。</w:t>
      </w:r>
    </w:p>
    <w:p w14:paraId="55EB551C" w14:textId="77777777" w:rsidR="00EB79C3" w:rsidRPr="00C01C50" w:rsidRDefault="00000000">
      <w:pPr>
        <w:numPr>
          <w:ilvl w:val="0"/>
          <w:numId w:val="1"/>
        </w:numPr>
        <w:ind w:left="992"/>
        <w:rPr>
          <w:color w:val="000000" w:themeColor="text1"/>
        </w:rPr>
      </w:pPr>
      <w:r w:rsidRPr="00C01C50">
        <w:rPr>
          <w:rFonts w:ascii="標楷體" w:eastAsia="標楷體" w:hAnsi="標楷體" w:cs="標楷體"/>
          <w:b/>
          <w:bCs/>
          <w:color w:val="000000" w:themeColor="text1"/>
        </w:rPr>
        <w:t>數據為本、雙軌並行分析未來五年最適合殘疾人士發展行業</w:t>
      </w:r>
      <w:r w:rsidRPr="00C01C50">
        <w:rPr>
          <w:rFonts w:ascii="標楷體" w:eastAsia="標楷體" w:hAnsi="標楷體" w:cs="標楷體"/>
          <w:color w:val="000000" w:themeColor="text1"/>
        </w:rPr>
        <w:t>，五年內整合現行就業輔導數據設立「殘疾人就業供需資料庫」，並於主流人力調查注入</w:t>
      </w:r>
      <w:r w:rsidRPr="00C01C50">
        <w:rPr>
          <w:rFonts w:ascii="標楷體" w:eastAsia="標楷體" w:hAnsi="標楷體" w:cs="標楷體"/>
          <w:color w:val="000000" w:themeColor="text1"/>
        </w:rPr>
        <w:lastRenderedPageBreak/>
        <w:t>「殘疾人士視覺」。</w:t>
      </w:r>
    </w:p>
    <w:p w14:paraId="402CE79E" w14:textId="77777777" w:rsidR="00EB79C3" w:rsidRPr="00C01C50" w:rsidRDefault="00000000">
      <w:pPr>
        <w:numPr>
          <w:ilvl w:val="0"/>
          <w:numId w:val="1"/>
        </w:numPr>
        <w:ind w:left="992"/>
        <w:rPr>
          <w:color w:val="000000" w:themeColor="text1"/>
        </w:rPr>
      </w:pPr>
      <w:proofErr w:type="gramStart"/>
      <w:r w:rsidRPr="00C01C50">
        <w:rPr>
          <w:rFonts w:ascii="標楷體" w:eastAsia="標楷體" w:hAnsi="標楷體" w:cs="標楷體"/>
          <w:b/>
          <w:bCs/>
          <w:color w:val="000000" w:themeColor="text1"/>
        </w:rPr>
        <w:t>優化社署</w:t>
      </w:r>
      <w:proofErr w:type="gramEnd"/>
      <w:r w:rsidRPr="00C01C50">
        <w:rPr>
          <w:rFonts w:ascii="標楷體" w:eastAsia="標楷體" w:hAnsi="標楷體" w:cs="標楷體"/>
          <w:b/>
          <w:bCs/>
          <w:color w:val="000000" w:themeColor="text1"/>
        </w:rPr>
        <w:t>「殘疾人士輔助就業培訓計劃」</w:t>
      </w:r>
      <w:r w:rsidRPr="00C01C50">
        <w:rPr>
          <w:rFonts w:ascii="標楷體" w:eastAsia="標楷體" w:hAnsi="標楷體" w:cs="標楷體"/>
          <w:color w:val="000000" w:themeColor="text1"/>
        </w:rPr>
        <w:t>，上調見習津貼與僱主補助至與勞工處「就業展才能計劃」相若水平，及增設「殘疾青年就業津貼」。</w:t>
      </w:r>
    </w:p>
    <w:p w14:paraId="15BE6713" w14:textId="77777777" w:rsidR="00EB79C3" w:rsidRPr="00C01C50" w:rsidRDefault="00EB79C3">
      <w:pPr>
        <w:rPr>
          <w:rFonts w:ascii="標楷體" w:eastAsia="標楷體" w:hAnsi="標楷體" w:cs="標楷體"/>
          <w:color w:val="000000" w:themeColor="text1"/>
        </w:rPr>
      </w:pPr>
    </w:p>
    <w:p w14:paraId="4485131A" w14:textId="77777777" w:rsidR="00EB79C3" w:rsidRPr="00C01C50" w:rsidRDefault="00000000">
      <w:pPr>
        <w:numPr>
          <w:ilvl w:val="0"/>
          <w:numId w:val="22"/>
        </w:numPr>
        <w:ind w:left="425"/>
        <w:rPr>
          <w:rFonts w:ascii="標楷體" w:eastAsia="標楷體" w:hAnsi="標楷體" w:cs="標楷體"/>
          <w:color w:val="000000" w:themeColor="text1"/>
        </w:rPr>
      </w:pPr>
      <w:r w:rsidRPr="00C01C50">
        <w:rPr>
          <w:rFonts w:ascii="標楷體" w:eastAsia="標楷體" w:hAnsi="標楷體" w:cs="標楷體"/>
          <w:color w:val="000000" w:themeColor="text1"/>
        </w:rPr>
        <w:t xml:space="preserve"> 慢性疾病社區復康服務發展</w:t>
      </w:r>
      <w:proofErr w:type="gramStart"/>
      <w:r w:rsidRPr="00C01C50">
        <w:rPr>
          <w:rFonts w:ascii="標楷體" w:eastAsia="標楷體" w:hAnsi="標楷體" w:cs="標楷體"/>
          <w:color w:val="000000" w:themeColor="text1"/>
        </w:rPr>
        <w:t>︰</w:t>
      </w:r>
      <w:proofErr w:type="gramEnd"/>
    </w:p>
    <w:p w14:paraId="403AA60F" w14:textId="77777777" w:rsidR="00EB79C3" w:rsidRPr="00C01C50" w:rsidRDefault="00000000">
      <w:pPr>
        <w:widowControl/>
        <w:numPr>
          <w:ilvl w:val="0"/>
          <w:numId w:val="1"/>
        </w:numPr>
        <w:ind w:left="992"/>
        <w:jc w:val="both"/>
        <w:rPr>
          <w:color w:val="000000" w:themeColor="text1"/>
        </w:rPr>
      </w:pPr>
      <w:r w:rsidRPr="00C01C50">
        <w:rPr>
          <w:rFonts w:ascii="標楷體" w:eastAsia="標楷體" w:hAnsi="標楷體" w:cs="標楷體"/>
          <w:b/>
          <w:bCs/>
          <w:color w:val="000000" w:themeColor="text1"/>
        </w:rPr>
        <w:t>發展</w:t>
      </w:r>
      <w:proofErr w:type="gramStart"/>
      <w:r w:rsidRPr="00C01C50">
        <w:rPr>
          <w:rFonts w:ascii="標楷體" w:eastAsia="標楷體" w:hAnsi="標楷體" w:cs="標楷體"/>
          <w:b/>
          <w:bCs/>
          <w:color w:val="000000" w:themeColor="text1"/>
        </w:rPr>
        <w:t>醫</w:t>
      </w:r>
      <w:proofErr w:type="gramEnd"/>
      <w:r w:rsidRPr="00C01C50">
        <w:rPr>
          <w:rFonts w:ascii="標楷體" w:eastAsia="標楷體" w:hAnsi="標楷體" w:cs="標楷體"/>
          <w:b/>
          <w:bCs/>
          <w:color w:val="000000" w:themeColor="text1"/>
        </w:rPr>
        <w:t>社協作以建設「</w:t>
      </w:r>
      <w:proofErr w:type="gramStart"/>
      <w:r w:rsidRPr="00C01C50">
        <w:rPr>
          <w:rFonts w:ascii="標楷體" w:eastAsia="標楷體" w:hAnsi="標楷體" w:cs="標楷體"/>
          <w:b/>
          <w:bCs/>
          <w:color w:val="000000" w:themeColor="text1"/>
        </w:rPr>
        <w:t>健康香港</w:t>
      </w:r>
      <w:proofErr w:type="gramEnd"/>
      <w:r w:rsidRPr="00C01C50">
        <w:rPr>
          <w:rFonts w:ascii="標楷體" w:eastAsia="標楷體" w:hAnsi="標楷體" w:cs="標楷體"/>
          <w:b/>
          <w:bCs/>
          <w:color w:val="000000" w:themeColor="text1"/>
        </w:rPr>
        <w:t>」</w:t>
      </w:r>
      <w:r w:rsidRPr="00C01C50">
        <w:rPr>
          <w:rFonts w:ascii="標楷體" w:eastAsia="標楷體" w:hAnsi="標楷體" w:cs="標楷體"/>
          <w:color w:val="000000" w:themeColor="text1"/>
        </w:rPr>
        <w:t>，建立轉</w:t>
      </w:r>
      <w:proofErr w:type="gramStart"/>
      <w:r w:rsidRPr="00C01C50">
        <w:rPr>
          <w:rFonts w:ascii="標楷體" w:eastAsia="標楷體" w:hAnsi="標楷體" w:cs="標楷體"/>
          <w:color w:val="000000" w:themeColor="text1"/>
        </w:rPr>
        <w:t>介</w:t>
      </w:r>
      <w:proofErr w:type="gramEnd"/>
      <w:r w:rsidRPr="00C01C50">
        <w:rPr>
          <w:rFonts w:ascii="標楷體" w:eastAsia="標楷體" w:hAnsi="標楷體" w:cs="標楷體"/>
          <w:color w:val="000000" w:themeColor="text1"/>
        </w:rPr>
        <w:t>機制</w:t>
      </w:r>
      <w:proofErr w:type="gramStart"/>
      <w:r w:rsidRPr="00C01C50">
        <w:rPr>
          <w:rFonts w:ascii="標楷體" w:eastAsia="標楷體" w:hAnsi="標楷體" w:cs="標楷體"/>
          <w:color w:val="000000" w:themeColor="text1"/>
        </w:rPr>
        <w:t>以助院方</w:t>
      </w:r>
      <w:proofErr w:type="gramEnd"/>
      <w:r w:rsidRPr="00C01C50">
        <w:rPr>
          <w:rFonts w:ascii="標楷體" w:eastAsia="標楷體" w:hAnsi="標楷體" w:cs="標楷體"/>
          <w:color w:val="000000" w:themeColor="text1"/>
        </w:rPr>
        <w:t>及醫務社工按病患需要轉</w:t>
      </w:r>
      <w:proofErr w:type="gramStart"/>
      <w:r w:rsidRPr="00C01C50">
        <w:rPr>
          <w:rFonts w:ascii="標楷體" w:eastAsia="標楷體" w:hAnsi="標楷體" w:cs="標楷體"/>
          <w:color w:val="000000" w:themeColor="text1"/>
        </w:rPr>
        <w:t>介</w:t>
      </w:r>
      <w:proofErr w:type="gramEnd"/>
      <w:r w:rsidRPr="00C01C50">
        <w:rPr>
          <w:rFonts w:ascii="標楷體" w:eastAsia="標楷體" w:hAnsi="標楷體" w:cs="標楷體"/>
          <w:color w:val="000000" w:themeColor="text1"/>
        </w:rPr>
        <w:t>其個案至合適的服務提供機構，建設</w:t>
      </w:r>
      <w:proofErr w:type="gramStart"/>
      <w:r w:rsidRPr="00C01C50">
        <w:rPr>
          <w:rFonts w:ascii="標楷體" w:eastAsia="標楷體" w:hAnsi="標楷體" w:cs="標楷體"/>
          <w:color w:val="000000" w:themeColor="text1"/>
        </w:rPr>
        <w:t>防治康管全</w:t>
      </w:r>
      <w:proofErr w:type="gramEnd"/>
      <w:r w:rsidRPr="00C01C50">
        <w:rPr>
          <w:rFonts w:ascii="標楷體" w:eastAsia="標楷體" w:hAnsi="標楷體" w:cs="標楷體"/>
          <w:color w:val="000000" w:themeColor="text1"/>
        </w:rPr>
        <w:t>鏈條服務體系。</w:t>
      </w:r>
    </w:p>
    <w:p w14:paraId="25017095" w14:textId="77777777" w:rsidR="00EB79C3" w:rsidRPr="00C01C50" w:rsidRDefault="00000000">
      <w:pPr>
        <w:widowControl/>
        <w:numPr>
          <w:ilvl w:val="0"/>
          <w:numId w:val="1"/>
        </w:numPr>
        <w:ind w:left="992"/>
        <w:jc w:val="both"/>
        <w:rPr>
          <w:color w:val="000000" w:themeColor="text1"/>
        </w:rPr>
      </w:pPr>
      <w:r w:rsidRPr="00C01C50">
        <w:rPr>
          <w:rFonts w:ascii="標楷體" w:eastAsia="標楷體" w:hAnsi="標楷體" w:cs="標楷體"/>
          <w:b/>
          <w:bCs/>
          <w:color w:val="000000" w:themeColor="text1"/>
        </w:rPr>
        <w:t>加速智能化輔助工具落地應用</w:t>
      </w:r>
      <w:r w:rsidRPr="00C01C50">
        <w:rPr>
          <w:rFonts w:ascii="標楷體" w:eastAsia="標楷體" w:hAnsi="標楷體" w:cs="標楷體"/>
          <w:color w:val="000000" w:themeColor="text1"/>
        </w:rPr>
        <w:t>，為復康創新技術設立專門的臨床試驗通道，及增設「</w:t>
      </w:r>
      <w:proofErr w:type="gramStart"/>
      <w:r w:rsidRPr="00C01C50">
        <w:rPr>
          <w:rFonts w:ascii="標楷體" w:eastAsia="標楷體" w:hAnsi="標楷體" w:cs="標楷體"/>
          <w:color w:val="000000" w:themeColor="text1"/>
        </w:rPr>
        <w:t>康復創科應用</w:t>
      </w:r>
      <w:proofErr w:type="gramEnd"/>
      <w:r w:rsidRPr="00C01C50">
        <w:rPr>
          <w:rFonts w:ascii="標楷體" w:eastAsia="標楷體" w:hAnsi="標楷體" w:cs="標楷體"/>
          <w:color w:val="000000" w:themeColor="text1"/>
        </w:rPr>
        <w:t>專項基金」以強化「研發至廣泛應用」轉化機制。</w:t>
      </w:r>
    </w:p>
    <w:p w14:paraId="4348C385" w14:textId="77777777" w:rsidR="00EB79C3" w:rsidRPr="00C01C50" w:rsidRDefault="00EB79C3">
      <w:pPr>
        <w:rPr>
          <w:rFonts w:ascii="標楷體" w:eastAsia="標楷體" w:hAnsi="標楷體" w:cs="標楷體"/>
          <w:color w:val="000000" w:themeColor="text1"/>
        </w:rPr>
      </w:pPr>
    </w:p>
    <w:p w14:paraId="5981926B" w14:textId="77777777" w:rsidR="00EB79C3" w:rsidRPr="00C01C50" w:rsidRDefault="00000000">
      <w:pPr>
        <w:numPr>
          <w:ilvl w:val="0"/>
          <w:numId w:val="22"/>
        </w:numPr>
        <w:ind w:left="425"/>
        <w:rPr>
          <w:rFonts w:ascii="標楷體" w:eastAsia="標楷體" w:hAnsi="標楷體" w:cs="標楷體"/>
          <w:color w:val="000000" w:themeColor="text1"/>
        </w:rPr>
      </w:pPr>
      <w:r w:rsidRPr="00C01C50">
        <w:rPr>
          <w:rFonts w:ascii="標楷體" w:eastAsia="標楷體" w:hAnsi="標楷體" w:cs="標楷體"/>
          <w:color w:val="000000" w:themeColor="text1"/>
        </w:rPr>
        <w:t xml:space="preserve"> 殘疾人士和病人自助組織支援</w:t>
      </w:r>
    </w:p>
    <w:p w14:paraId="5ADAE930" w14:textId="77777777" w:rsidR="00EB79C3" w:rsidRPr="00C01C50" w:rsidRDefault="00000000">
      <w:pPr>
        <w:numPr>
          <w:ilvl w:val="0"/>
          <w:numId w:val="1"/>
        </w:numPr>
        <w:ind w:left="992"/>
        <w:rPr>
          <w:color w:val="000000" w:themeColor="text1"/>
        </w:rPr>
      </w:pPr>
      <w:r w:rsidRPr="00C01C50">
        <w:rPr>
          <w:rFonts w:ascii="標楷體" w:eastAsia="標楷體" w:hAnsi="標楷體" w:cs="標楷體"/>
          <w:b/>
          <w:bCs/>
          <w:color w:val="000000" w:themeColor="text1"/>
        </w:rPr>
        <w:t>引入市場化模式以助殘疾人士和病人自助組織持續發展</w:t>
      </w:r>
      <w:r w:rsidRPr="00C01C50">
        <w:rPr>
          <w:rFonts w:ascii="標楷體" w:eastAsia="標楷體" w:hAnsi="標楷體" w:cs="標楷體"/>
          <w:color w:val="000000" w:themeColor="text1"/>
        </w:rPr>
        <w:t>，設立「自助組織發展基金」構建「官、商、社」三方共同參與的市場化配對機制。</w:t>
      </w:r>
    </w:p>
    <w:p w14:paraId="1B30B9DF" w14:textId="77777777" w:rsidR="00EB79C3" w:rsidRPr="00C01C50" w:rsidRDefault="00000000">
      <w:pPr>
        <w:numPr>
          <w:ilvl w:val="0"/>
          <w:numId w:val="1"/>
        </w:numPr>
        <w:ind w:left="992"/>
        <w:rPr>
          <w:color w:val="000000" w:themeColor="text1"/>
        </w:rPr>
      </w:pPr>
      <w:r w:rsidRPr="00C01C50">
        <w:rPr>
          <w:rFonts w:ascii="標楷體" w:eastAsia="標楷體" w:hAnsi="標楷體" w:cs="標楷體"/>
          <w:b/>
          <w:bCs/>
          <w:color w:val="000000" w:themeColor="text1"/>
        </w:rPr>
        <w:t>推動社區空間彈性化</w:t>
      </w:r>
      <w:r w:rsidRPr="00C01C50">
        <w:rPr>
          <w:rFonts w:ascii="標楷體" w:eastAsia="標楷體" w:hAnsi="標楷體" w:cs="標楷體"/>
          <w:color w:val="000000" w:themeColor="text1"/>
        </w:rPr>
        <w:t>，讓自助組織於病人資源中心、青少年中心及社區客廳等服務單位閒置時段短暫辦公或提供服務，擴大社區接觸面。</w:t>
      </w:r>
    </w:p>
    <w:p w14:paraId="375754E9" w14:textId="77777777" w:rsidR="00EB79C3" w:rsidRPr="00C01C50" w:rsidRDefault="00EB79C3">
      <w:pPr>
        <w:rPr>
          <w:rFonts w:ascii="標楷體" w:eastAsia="標楷體" w:hAnsi="標楷體" w:cs="標楷體"/>
          <w:color w:val="000000" w:themeColor="text1"/>
        </w:rPr>
      </w:pPr>
    </w:p>
    <w:p w14:paraId="2C6151A0" w14:textId="77777777" w:rsidR="00EB79C3" w:rsidRPr="00C01C50" w:rsidRDefault="00000000">
      <w:pPr>
        <w:numPr>
          <w:ilvl w:val="0"/>
          <w:numId w:val="22"/>
        </w:numPr>
        <w:ind w:left="566" w:hanging="566"/>
        <w:rPr>
          <w:rFonts w:ascii="標楷體" w:eastAsia="標楷體" w:hAnsi="標楷體" w:cs="標楷體"/>
          <w:color w:val="000000" w:themeColor="text1"/>
        </w:rPr>
      </w:pPr>
      <w:r w:rsidRPr="00C01C50">
        <w:rPr>
          <w:rFonts w:ascii="標楷體" w:eastAsia="標楷體" w:hAnsi="標楷體" w:cs="標楷體"/>
          <w:color w:val="000000" w:themeColor="text1"/>
        </w:rPr>
        <w:t>罕見疾病支援</w:t>
      </w:r>
    </w:p>
    <w:p w14:paraId="2C853EF1" w14:textId="77777777" w:rsidR="00EB79C3" w:rsidRPr="00C01C50" w:rsidRDefault="00000000">
      <w:pPr>
        <w:numPr>
          <w:ilvl w:val="0"/>
          <w:numId w:val="1"/>
        </w:numPr>
        <w:ind w:left="992"/>
        <w:rPr>
          <w:color w:val="000000" w:themeColor="text1"/>
        </w:rPr>
      </w:pPr>
      <w:r w:rsidRPr="00C01C50">
        <w:rPr>
          <w:rFonts w:ascii="標楷體" w:eastAsia="標楷體" w:hAnsi="標楷體" w:cs="標楷體"/>
          <w:b/>
          <w:bCs/>
          <w:color w:val="000000" w:themeColor="text1"/>
        </w:rPr>
        <w:t>配合國家「十五五」規劃中明確提出的「提升患者用藥可及性」方向</w:t>
      </w:r>
      <w:r w:rsidRPr="00C01C50">
        <w:rPr>
          <w:rFonts w:ascii="標楷體" w:eastAsia="標楷體" w:hAnsi="標楷體" w:cs="標楷體"/>
          <w:color w:val="000000" w:themeColor="text1"/>
        </w:rPr>
        <w:t>，建立機制引入內地研發且價格相宜的創新罕病及重大疾病 (包括癌症)藥物在港使用，並探討與內地開展聯合採購，以提升整體藥費可負擔性。</w:t>
      </w:r>
    </w:p>
    <w:p w14:paraId="0ECC78E6" w14:textId="77777777" w:rsidR="00EB79C3" w:rsidRPr="00C01C50" w:rsidRDefault="00000000">
      <w:pPr>
        <w:numPr>
          <w:ilvl w:val="0"/>
          <w:numId w:val="1"/>
        </w:numPr>
        <w:ind w:left="992"/>
        <w:rPr>
          <w:color w:val="000000" w:themeColor="text1"/>
        </w:rPr>
      </w:pPr>
      <w:r w:rsidRPr="00C01C50">
        <w:rPr>
          <w:rFonts w:ascii="標楷體" w:eastAsia="標楷體" w:hAnsi="標楷體" w:cs="標楷體"/>
          <w:b/>
          <w:bCs/>
          <w:color w:val="000000" w:themeColor="text1"/>
        </w:rPr>
        <w:t>為制定《遺傳及罕見病目錄》訂立明確時間表，以此建立「平均確診時間」基線</w:t>
      </w:r>
      <w:r w:rsidRPr="00C01C50">
        <w:rPr>
          <w:rFonts w:ascii="標楷體" w:eastAsia="標楷體" w:hAnsi="標楷體" w:cs="標楷體"/>
          <w:color w:val="000000" w:themeColor="text1"/>
        </w:rPr>
        <w:t>，進一步設定未來</w:t>
      </w:r>
      <w:proofErr w:type="gramStart"/>
      <w:r w:rsidRPr="00C01C50">
        <w:rPr>
          <w:rFonts w:ascii="標楷體" w:eastAsia="標楷體" w:hAnsi="標楷體" w:cs="標楷體"/>
          <w:color w:val="000000" w:themeColor="text1"/>
        </w:rPr>
        <w:t>五年將確診</w:t>
      </w:r>
      <w:proofErr w:type="gramEnd"/>
      <w:r w:rsidRPr="00C01C50">
        <w:rPr>
          <w:rFonts w:ascii="標楷體" w:eastAsia="標楷體" w:hAnsi="標楷體" w:cs="標楷體"/>
          <w:color w:val="000000" w:themeColor="text1"/>
        </w:rPr>
        <w:t>時間縮短至具體週數或月數的目標。</w:t>
      </w:r>
    </w:p>
    <w:p w14:paraId="5546BEC2" w14:textId="77777777" w:rsidR="00EB79C3" w:rsidRPr="00C01C50" w:rsidRDefault="00000000">
      <w:pPr>
        <w:numPr>
          <w:ilvl w:val="0"/>
          <w:numId w:val="1"/>
        </w:numPr>
        <w:ind w:left="992"/>
        <w:rPr>
          <w:color w:val="000000" w:themeColor="text1"/>
        </w:rPr>
      </w:pPr>
      <w:proofErr w:type="gramStart"/>
      <w:r w:rsidRPr="00C01C50">
        <w:rPr>
          <w:rFonts w:ascii="標楷體" w:eastAsia="標楷體" w:hAnsi="標楷體" w:cs="標楷體"/>
          <w:b/>
          <w:bCs/>
          <w:color w:val="000000" w:themeColor="text1"/>
        </w:rPr>
        <w:t>將罕病</w:t>
      </w:r>
      <w:proofErr w:type="gramEnd"/>
      <w:r w:rsidRPr="00C01C50">
        <w:rPr>
          <w:rFonts w:ascii="標楷體" w:eastAsia="標楷體" w:hAnsi="標楷體" w:cs="標楷體"/>
          <w:b/>
          <w:bCs/>
          <w:color w:val="000000" w:themeColor="text1"/>
        </w:rPr>
        <w:t>醫療措施延伸至非遺傳性及成年發病群體</w:t>
      </w:r>
      <w:r w:rsidRPr="00C01C50">
        <w:rPr>
          <w:rFonts w:ascii="標楷體" w:eastAsia="標楷體" w:hAnsi="標楷體" w:cs="標楷體"/>
          <w:color w:val="000000" w:themeColor="text1"/>
        </w:rPr>
        <w:t>，包括將兒童醫院「醫學遺傳科」的模式擴展至全港醫院聯網</w:t>
      </w:r>
      <w:proofErr w:type="gramStart"/>
      <w:r w:rsidRPr="00C01C50">
        <w:rPr>
          <w:rFonts w:ascii="標楷體" w:eastAsia="標楷體" w:hAnsi="標楷體" w:cs="標楷體"/>
          <w:color w:val="000000" w:themeColor="text1"/>
        </w:rPr>
        <w:t>﹑</w:t>
      </w:r>
      <w:proofErr w:type="gramEnd"/>
      <w:r w:rsidRPr="00C01C50">
        <w:rPr>
          <w:rFonts w:ascii="標楷體" w:eastAsia="標楷體" w:hAnsi="標楷體" w:cs="標楷體"/>
          <w:color w:val="000000" w:themeColor="text1"/>
        </w:rPr>
        <w:t>為成年罕見病人提供社區支援，以及借</w:t>
      </w:r>
      <w:proofErr w:type="gramStart"/>
      <w:r w:rsidRPr="00C01C50">
        <w:rPr>
          <w:rFonts w:ascii="標楷體" w:eastAsia="標楷體" w:hAnsi="標楷體" w:cs="標楷體"/>
          <w:color w:val="000000" w:themeColor="text1"/>
        </w:rPr>
        <w:t>鑑</w:t>
      </w:r>
      <w:proofErr w:type="gramEnd"/>
      <w:r w:rsidRPr="00C01C50">
        <w:rPr>
          <w:rFonts w:ascii="標楷體" w:eastAsia="標楷體" w:hAnsi="標楷體" w:cs="標楷體"/>
          <w:color w:val="000000" w:themeColor="text1"/>
        </w:rPr>
        <w:t>「長者離院支援計劃」</w:t>
      </w:r>
      <w:proofErr w:type="gramStart"/>
      <w:r w:rsidRPr="00C01C50">
        <w:rPr>
          <w:rFonts w:ascii="標楷體" w:eastAsia="標楷體" w:hAnsi="標楷體" w:cs="標楷體"/>
          <w:color w:val="000000" w:themeColor="text1"/>
        </w:rPr>
        <w:t>為罕病患</w:t>
      </w:r>
      <w:proofErr w:type="gramEnd"/>
      <w:r w:rsidRPr="00C01C50">
        <w:rPr>
          <w:rFonts w:ascii="標楷體" w:eastAsia="標楷體" w:hAnsi="標楷體" w:cs="標楷體"/>
          <w:color w:val="000000" w:themeColor="text1"/>
        </w:rPr>
        <w:t>者提供出院後關鍵期的支援，以補足現有服務銜接，並為國家相關罕病服務發展提供有益實踐經驗。</w:t>
      </w:r>
    </w:p>
    <w:p w14:paraId="161102F4" w14:textId="77777777" w:rsidR="00EB79C3" w:rsidRPr="00C01C50" w:rsidRDefault="00EB79C3">
      <w:pPr>
        <w:rPr>
          <w:rFonts w:ascii="標楷體" w:eastAsia="標楷體" w:hAnsi="標楷體" w:cs="標楷體"/>
          <w:color w:val="000000" w:themeColor="text1"/>
        </w:rPr>
      </w:pPr>
    </w:p>
    <w:p w14:paraId="25AB0264" w14:textId="77777777" w:rsidR="00EB79C3" w:rsidRPr="00C01C50" w:rsidRDefault="00000000">
      <w:pPr>
        <w:numPr>
          <w:ilvl w:val="0"/>
          <w:numId w:val="22"/>
        </w:numPr>
        <w:ind w:left="566" w:hanging="566"/>
        <w:rPr>
          <w:rFonts w:ascii="標楷體" w:eastAsia="標楷體" w:hAnsi="標楷體" w:cs="標楷體"/>
          <w:color w:val="000000" w:themeColor="text1"/>
        </w:rPr>
      </w:pPr>
      <w:r w:rsidRPr="00C01C50">
        <w:rPr>
          <w:rFonts w:ascii="標楷體" w:eastAsia="標楷體" w:hAnsi="標楷體" w:cs="標楷體"/>
          <w:color w:val="000000" w:themeColor="text1"/>
        </w:rPr>
        <w:t>跨境照顧</w:t>
      </w:r>
    </w:p>
    <w:p w14:paraId="2C876F33" w14:textId="77777777" w:rsidR="00EB79C3" w:rsidRPr="00C01C50" w:rsidRDefault="00000000">
      <w:pPr>
        <w:numPr>
          <w:ilvl w:val="0"/>
          <w:numId w:val="1"/>
        </w:numPr>
        <w:ind w:left="992"/>
        <w:rPr>
          <w:color w:val="000000" w:themeColor="text1"/>
        </w:rPr>
      </w:pPr>
      <w:r w:rsidRPr="00C01C50">
        <w:rPr>
          <w:rFonts w:ascii="標楷體" w:eastAsia="標楷體" w:hAnsi="標楷體" w:cs="標楷體"/>
          <w:b/>
          <w:bCs/>
          <w:color w:val="000000" w:themeColor="text1"/>
        </w:rPr>
        <w:t>配合國家「十五五」規劃列明</w:t>
      </w:r>
      <w:r w:rsidRPr="00C01C50">
        <w:rPr>
          <w:rFonts w:ascii="標楷體" w:eastAsia="標楷體" w:hAnsi="標楷體" w:cs="標楷體"/>
          <w:b/>
          <w:bCs/>
          <w:color w:val="000000" w:themeColor="text1"/>
          <w:highlight w:val="white"/>
        </w:rPr>
        <w:t>「鼓勵有條件的養老機構設立『老年父母+殘疾子女』家庭照護單元」</w:t>
      </w:r>
      <w:r w:rsidRPr="00C01C50">
        <w:rPr>
          <w:rFonts w:ascii="標楷體" w:eastAsia="標楷體" w:hAnsi="標楷體" w:cs="標楷體"/>
          <w:color w:val="000000" w:themeColor="text1"/>
          <w:highlight w:val="white"/>
        </w:rPr>
        <w:t>，</w:t>
      </w:r>
      <w:r w:rsidRPr="00C01C50">
        <w:rPr>
          <w:rFonts w:ascii="標楷體" w:eastAsia="標楷體" w:hAnsi="標楷體" w:cs="標楷體"/>
          <w:color w:val="000000" w:themeColor="text1"/>
        </w:rPr>
        <w:t>支援認可服務機構開展跨境家庭照護服務。</w:t>
      </w:r>
    </w:p>
    <w:p w14:paraId="62C1CC32" w14:textId="77777777" w:rsidR="00EB79C3" w:rsidRPr="00C01C50" w:rsidRDefault="00000000">
      <w:pPr>
        <w:numPr>
          <w:ilvl w:val="0"/>
          <w:numId w:val="1"/>
        </w:numPr>
        <w:ind w:left="992"/>
        <w:rPr>
          <w:color w:val="000000" w:themeColor="text1"/>
        </w:rPr>
      </w:pPr>
      <w:r w:rsidRPr="00C01C50">
        <w:rPr>
          <w:rFonts w:ascii="標楷體" w:eastAsia="標楷體" w:hAnsi="標楷體" w:cs="標楷體"/>
          <w:b/>
          <w:bCs/>
          <w:color w:val="000000" w:themeColor="text1"/>
        </w:rPr>
        <w:t>開展全面調查</w:t>
      </w:r>
      <w:proofErr w:type="gramStart"/>
      <w:r w:rsidRPr="00C01C50">
        <w:rPr>
          <w:rFonts w:ascii="標楷體" w:eastAsia="標楷體" w:hAnsi="標楷體" w:cs="標楷體"/>
          <w:b/>
          <w:bCs/>
          <w:color w:val="000000" w:themeColor="text1"/>
        </w:rPr>
        <w:t>以助跨境</w:t>
      </w:r>
      <w:proofErr w:type="gramEnd"/>
      <w:r w:rsidRPr="00C01C50">
        <w:rPr>
          <w:rFonts w:ascii="標楷體" w:eastAsia="標楷體" w:hAnsi="標楷體" w:cs="標楷體"/>
          <w:b/>
          <w:bCs/>
          <w:color w:val="000000" w:themeColor="text1"/>
        </w:rPr>
        <w:t>養老可持續發展</w:t>
      </w:r>
      <w:r w:rsidRPr="00C01C50">
        <w:rPr>
          <w:rFonts w:ascii="標楷體" w:eastAsia="標楷體" w:hAnsi="標楷體" w:cs="標楷體"/>
          <w:color w:val="000000" w:themeColor="text1"/>
        </w:rPr>
        <w:t>，透過廣東</w:t>
      </w:r>
      <w:proofErr w:type="gramStart"/>
      <w:r w:rsidRPr="00C01C50">
        <w:rPr>
          <w:rFonts w:ascii="標楷體" w:eastAsia="標楷體" w:hAnsi="標楷體" w:cs="標楷體"/>
          <w:color w:val="000000" w:themeColor="text1"/>
        </w:rPr>
        <w:t>計劃覆檢同步調查居粵長者</w:t>
      </w:r>
      <w:proofErr w:type="gramEnd"/>
      <w:r w:rsidRPr="00C01C50">
        <w:rPr>
          <w:rFonts w:ascii="標楷體" w:eastAsia="標楷體" w:hAnsi="標楷體" w:cs="標楷體"/>
          <w:color w:val="000000" w:themeColor="text1"/>
        </w:rPr>
        <w:t xml:space="preserve">概況（含居住、經濟及社交狀況），助政府制定更適切的跨境養老政策。 </w:t>
      </w:r>
    </w:p>
    <w:p w14:paraId="3FC37DBE" w14:textId="77777777" w:rsidR="00EB79C3" w:rsidRPr="00C01C50" w:rsidRDefault="00EB79C3">
      <w:pPr>
        <w:rPr>
          <w:rFonts w:ascii="標楷體" w:eastAsia="標楷體" w:hAnsi="標楷體" w:cs="標楷體"/>
          <w:color w:val="000000" w:themeColor="text1"/>
        </w:rPr>
      </w:pPr>
    </w:p>
    <w:p w14:paraId="49BBCB39" w14:textId="77777777" w:rsidR="00EB79C3" w:rsidRPr="00C01C50" w:rsidRDefault="00000000">
      <w:pPr>
        <w:numPr>
          <w:ilvl w:val="0"/>
          <w:numId w:val="22"/>
        </w:numPr>
        <w:ind w:left="425"/>
        <w:rPr>
          <w:rFonts w:ascii="標楷體" w:eastAsia="標楷體" w:hAnsi="標楷體" w:cs="標楷體"/>
          <w:color w:val="000000" w:themeColor="text1"/>
        </w:rPr>
      </w:pPr>
      <w:r w:rsidRPr="00C01C50">
        <w:rPr>
          <w:rFonts w:ascii="標楷體" w:eastAsia="標楷體" w:hAnsi="標楷體" w:cs="標楷體"/>
          <w:color w:val="000000" w:themeColor="text1"/>
        </w:rPr>
        <w:t xml:space="preserve"> 晚期照顧及臨終護理支援</w:t>
      </w:r>
    </w:p>
    <w:p w14:paraId="44702472" w14:textId="77777777" w:rsidR="00EB79C3" w:rsidRPr="00C01C50" w:rsidRDefault="00000000">
      <w:pPr>
        <w:numPr>
          <w:ilvl w:val="0"/>
          <w:numId w:val="1"/>
        </w:numPr>
        <w:ind w:left="992"/>
        <w:rPr>
          <w:color w:val="000000" w:themeColor="text1"/>
        </w:rPr>
      </w:pPr>
      <w:r w:rsidRPr="00C01C50">
        <w:rPr>
          <w:rFonts w:ascii="標楷體" w:eastAsia="標楷體" w:hAnsi="標楷體" w:cs="標楷體"/>
          <w:b/>
          <w:bCs/>
          <w:color w:val="000000" w:themeColor="text1"/>
        </w:rPr>
        <w:t>切實推動病人的自主決策，為「預設醫療指示」簽署率訂立兩年及五年階段性指標</w:t>
      </w:r>
      <w:r w:rsidRPr="00C01C50">
        <w:rPr>
          <w:rFonts w:ascii="標楷體" w:eastAsia="標楷體" w:hAnsi="標楷體" w:cs="標楷體"/>
          <w:color w:val="000000" w:themeColor="text1"/>
        </w:rPr>
        <w:t>，並透過前線人員培訓及與提供「預設照顧計劃」社福機構協作，提升專業人員與公眾的準備度及執行能力，定期檢討成效。</w:t>
      </w:r>
    </w:p>
    <w:p w14:paraId="1D3301FB" w14:textId="77777777" w:rsidR="00EB79C3" w:rsidRPr="00C01C50" w:rsidRDefault="00000000">
      <w:pPr>
        <w:numPr>
          <w:ilvl w:val="0"/>
          <w:numId w:val="1"/>
        </w:numPr>
        <w:ind w:left="992"/>
        <w:rPr>
          <w:color w:val="000000" w:themeColor="text1"/>
        </w:rPr>
      </w:pPr>
      <w:r w:rsidRPr="00C01C50">
        <w:rPr>
          <w:rFonts w:ascii="標楷體" w:eastAsia="標楷體" w:hAnsi="標楷體" w:cs="標楷體"/>
          <w:b/>
          <w:bCs/>
          <w:color w:val="000000" w:themeColor="text1"/>
        </w:rPr>
        <w:t>對接國家「十五五」規劃，透過市場化擴大安寧療護服務供給</w:t>
      </w:r>
      <w:r w:rsidRPr="00C01C50">
        <w:rPr>
          <w:rFonts w:ascii="標楷體" w:eastAsia="標楷體" w:hAnsi="標楷體" w:cs="標楷體"/>
          <w:color w:val="000000" w:themeColor="text1"/>
        </w:rPr>
        <w:t>，探討擴展「長者社區照顧服務</w:t>
      </w:r>
      <w:proofErr w:type="gramStart"/>
      <w:r w:rsidRPr="00C01C50">
        <w:rPr>
          <w:rFonts w:ascii="標楷體" w:eastAsia="標楷體" w:hAnsi="標楷體" w:cs="標楷體"/>
          <w:color w:val="000000" w:themeColor="text1"/>
        </w:rPr>
        <w:t>券</w:t>
      </w:r>
      <w:proofErr w:type="gramEnd"/>
      <w:r w:rsidRPr="00C01C50">
        <w:rPr>
          <w:rFonts w:ascii="標楷體" w:eastAsia="標楷體" w:hAnsi="標楷體" w:cs="標楷體"/>
          <w:color w:val="000000" w:themeColor="text1"/>
        </w:rPr>
        <w:t>計劃」至涵蓋尚未納入「資助長期護理服務中央</w:t>
      </w:r>
      <w:proofErr w:type="gramStart"/>
      <w:r w:rsidRPr="00C01C50">
        <w:rPr>
          <w:rFonts w:ascii="標楷體" w:eastAsia="標楷體" w:hAnsi="標楷體" w:cs="標楷體"/>
          <w:color w:val="000000" w:themeColor="text1"/>
        </w:rPr>
        <w:t>輪候</w:t>
      </w:r>
      <w:r w:rsidRPr="00C01C50">
        <w:rPr>
          <w:rFonts w:ascii="標楷體" w:eastAsia="標楷體" w:hAnsi="標楷體" w:cs="標楷體"/>
          <w:color w:val="000000" w:themeColor="text1"/>
        </w:rPr>
        <w:lastRenderedPageBreak/>
        <w:t>冊</w:t>
      </w:r>
      <w:proofErr w:type="gramEnd"/>
      <w:r w:rsidRPr="00C01C50">
        <w:rPr>
          <w:rFonts w:ascii="標楷體" w:eastAsia="標楷體" w:hAnsi="標楷體" w:cs="標楷體"/>
          <w:color w:val="000000" w:themeColor="text1"/>
        </w:rPr>
        <w:t>」的年長晚期病患者，並於五年內將安寧照顧納入津助長者社區照顧服務的恆常服務範圍及服務協議中。</w:t>
      </w:r>
    </w:p>
    <w:p w14:paraId="48DFC87C" w14:textId="77777777" w:rsidR="00EB79C3" w:rsidRPr="00C01C50" w:rsidRDefault="00EB79C3">
      <w:pPr>
        <w:rPr>
          <w:rFonts w:ascii="標楷體" w:eastAsia="標楷體" w:hAnsi="標楷體" w:cs="標楷體"/>
          <w:color w:val="000000" w:themeColor="text1"/>
        </w:rPr>
      </w:pPr>
    </w:p>
    <w:p w14:paraId="4C1B0FC4" w14:textId="77777777" w:rsidR="00EB79C3" w:rsidRPr="00C01C50" w:rsidRDefault="00000000">
      <w:pPr>
        <w:numPr>
          <w:ilvl w:val="0"/>
          <w:numId w:val="22"/>
        </w:numPr>
        <w:ind w:left="566" w:hanging="566"/>
        <w:rPr>
          <w:rFonts w:ascii="標楷體" w:eastAsia="標楷體" w:hAnsi="標楷體" w:cs="標楷體"/>
          <w:color w:val="000000" w:themeColor="text1"/>
        </w:rPr>
      </w:pPr>
      <w:r w:rsidRPr="00C01C50">
        <w:rPr>
          <w:rFonts w:ascii="標楷體" w:eastAsia="標楷體" w:hAnsi="標楷體" w:cs="標楷體"/>
          <w:color w:val="000000" w:themeColor="text1"/>
        </w:rPr>
        <w:t>照顧者支援</w:t>
      </w:r>
    </w:p>
    <w:p w14:paraId="4538C06C" w14:textId="77777777" w:rsidR="00EB79C3" w:rsidRPr="00C01C50" w:rsidRDefault="00000000">
      <w:pPr>
        <w:numPr>
          <w:ilvl w:val="0"/>
          <w:numId w:val="1"/>
        </w:numPr>
        <w:ind w:left="992"/>
        <w:rPr>
          <w:color w:val="000000" w:themeColor="text1"/>
        </w:rPr>
      </w:pPr>
      <w:r w:rsidRPr="00C01C50">
        <w:rPr>
          <w:rFonts w:ascii="標楷體" w:eastAsia="標楷體" w:hAnsi="標楷體" w:cs="標楷體"/>
          <w:b/>
          <w:bCs/>
          <w:color w:val="000000" w:themeColor="text1"/>
        </w:rPr>
        <w:t>加強對照顧者的及早識別與支援</w:t>
      </w:r>
      <w:r w:rsidRPr="00C01C50">
        <w:rPr>
          <w:rFonts w:ascii="標楷體" w:eastAsia="標楷體" w:hAnsi="標楷體" w:cs="標楷體"/>
          <w:color w:val="000000" w:themeColor="text1"/>
        </w:rPr>
        <w:t>，深化關愛隊與地區社福機構及自助組織等的跨界別協作，共同識別社區內的照顧者，並進行初步風險評估與分流。</w:t>
      </w:r>
    </w:p>
    <w:p w14:paraId="2D3AD07E" w14:textId="77777777" w:rsidR="00EB79C3" w:rsidRPr="00C01C50" w:rsidRDefault="00000000">
      <w:pPr>
        <w:numPr>
          <w:ilvl w:val="0"/>
          <w:numId w:val="1"/>
        </w:numPr>
        <w:ind w:left="992"/>
        <w:rPr>
          <w:color w:val="000000" w:themeColor="text1"/>
        </w:rPr>
      </w:pPr>
      <w:r w:rsidRPr="00C01C50">
        <w:rPr>
          <w:rFonts w:ascii="標楷體" w:eastAsia="標楷體" w:hAnsi="標楷體" w:cs="標楷體"/>
          <w:b/>
          <w:bCs/>
          <w:color w:val="000000" w:themeColor="text1"/>
        </w:rPr>
        <w:t>放寬「照顧者津貼」申請資格</w:t>
      </w:r>
      <w:r w:rsidRPr="00C01C50">
        <w:rPr>
          <w:rFonts w:ascii="標楷體" w:eastAsia="標楷體" w:hAnsi="標楷體" w:cs="標楷體"/>
          <w:color w:val="000000" w:themeColor="text1"/>
        </w:rPr>
        <w:t>，涵蓋正照顧尚未進入中央</w:t>
      </w:r>
      <w:proofErr w:type="gramStart"/>
      <w:r w:rsidRPr="00C01C50">
        <w:rPr>
          <w:rFonts w:ascii="標楷體" w:eastAsia="標楷體" w:hAnsi="標楷體" w:cs="標楷體"/>
          <w:color w:val="000000" w:themeColor="text1"/>
        </w:rPr>
        <w:t>輪候冊人士</w:t>
      </w:r>
      <w:proofErr w:type="gramEnd"/>
      <w:r w:rsidRPr="00C01C50">
        <w:rPr>
          <w:rFonts w:ascii="標楷體" w:eastAsia="標楷體" w:hAnsi="標楷體" w:cs="標楷體"/>
          <w:color w:val="000000" w:themeColor="text1"/>
        </w:rPr>
        <w:t>的低收入照顧者，並容許同時申領照顧者津貼與傷殘津貼或長者生活津貼等。</w:t>
      </w:r>
    </w:p>
    <w:p w14:paraId="445D42C5" w14:textId="77777777" w:rsidR="00EB79C3" w:rsidRPr="00C01C50" w:rsidRDefault="00EB79C3">
      <w:pPr>
        <w:rPr>
          <w:rFonts w:ascii="標楷體" w:eastAsia="標楷體" w:hAnsi="標楷體" w:cs="標楷體"/>
          <w:color w:val="000000" w:themeColor="text1"/>
        </w:rPr>
      </w:pPr>
    </w:p>
    <w:p w14:paraId="48D766F8" w14:textId="77777777" w:rsidR="00EB79C3" w:rsidRPr="00C01C50" w:rsidRDefault="00000000">
      <w:pPr>
        <w:numPr>
          <w:ilvl w:val="0"/>
          <w:numId w:val="22"/>
        </w:numPr>
        <w:ind w:left="283"/>
        <w:rPr>
          <w:rFonts w:ascii="標楷體" w:eastAsia="標楷體" w:hAnsi="標楷體" w:cs="標楷體"/>
          <w:color w:val="000000" w:themeColor="text1"/>
        </w:rPr>
      </w:pPr>
      <w:r w:rsidRPr="00C01C50">
        <w:rPr>
          <w:rFonts w:ascii="標楷體" w:eastAsia="標楷體" w:hAnsi="標楷體" w:cs="標楷體"/>
          <w:color w:val="000000" w:themeColor="text1"/>
        </w:rPr>
        <w:t>政策制定諮詢架構</w:t>
      </w:r>
    </w:p>
    <w:p w14:paraId="0A96050C" w14:textId="77777777" w:rsidR="00EB79C3" w:rsidRPr="00C01C50" w:rsidRDefault="00000000">
      <w:pPr>
        <w:numPr>
          <w:ilvl w:val="0"/>
          <w:numId w:val="1"/>
        </w:numPr>
        <w:ind w:left="992"/>
        <w:rPr>
          <w:color w:val="000000" w:themeColor="text1"/>
        </w:rPr>
        <w:sectPr w:rsidR="00EB79C3" w:rsidRPr="00C01C50">
          <w:headerReference w:type="default" r:id="rId10"/>
          <w:footerReference w:type="default" r:id="rId11"/>
          <w:pgSz w:w="11906" w:h="16838"/>
          <w:pgMar w:top="1440" w:right="1440" w:bottom="1440" w:left="1440" w:header="851" w:footer="992" w:gutter="0"/>
          <w:pgNumType w:start="1"/>
          <w:cols w:space="720"/>
        </w:sectPr>
      </w:pPr>
      <w:r w:rsidRPr="00C01C50">
        <w:rPr>
          <w:rFonts w:ascii="標楷體" w:eastAsia="標楷體" w:hAnsi="標楷體" w:cs="標楷體"/>
          <w:b/>
          <w:bCs/>
          <w:color w:val="000000" w:themeColor="text1"/>
        </w:rPr>
        <w:t>「諮詢制度化」助資源精</w:t>
      </w:r>
      <w:proofErr w:type="gramStart"/>
      <w:r w:rsidRPr="00C01C50">
        <w:rPr>
          <w:rFonts w:ascii="標楷體" w:eastAsia="標楷體" w:hAnsi="標楷體" w:cs="標楷體"/>
          <w:b/>
          <w:bCs/>
          <w:color w:val="000000" w:themeColor="text1"/>
        </w:rPr>
        <w:t>準</w:t>
      </w:r>
      <w:proofErr w:type="gramEnd"/>
      <w:r w:rsidRPr="00C01C50">
        <w:rPr>
          <w:rFonts w:ascii="標楷體" w:eastAsia="標楷體" w:hAnsi="標楷體" w:cs="標楷體"/>
          <w:b/>
          <w:bCs/>
          <w:color w:val="000000" w:themeColor="text1"/>
        </w:rPr>
        <w:t>投放以達可持續化</w:t>
      </w:r>
      <w:r w:rsidRPr="00C01C50">
        <w:rPr>
          <w:rFonts w:ascii="標楷體" w:eastAsia="標楷體" w:hAnsi="標楷體" w:cs="標楷體"/>
          <w:color w:val="000000" w:themeColor="text1"/>
        </w:rPr>
        <w:t>，借</w:t>
      </w:r>
      <w:proofErr w:type="gramStart"/>
      <w:r w:rsidRPr="00C01C50">
        <w:rPr>
          <w:rFonts w:ascii="標楷體" w:eastAsia="標楷體" w:hAnsi="標楷體" w:cs="標楷體"/>
          <w:color w:val="000000" w:themeColor="text1"/>
        </w:rPr>
        <w:t>鑑</w:t>
      </w:r>
      <w:proofErr w:type="gramEnd"/>
      <w:r w:rsidRPr="00C01C50">
        <w:rPr>
          <w:rFonts w:ascii="標楷體" w:eastAsia="標楷體" w:hAnsi="標楷體" w:cs="標楷體"/>
          <w:color w:val="000000" w:themeColor="text1"/>
        </w:rPr>
        <w:t xml:space="preserve">婦女事務委員會成立「殘疾人事務委員會」，專責審視涉及殘疾人士政策，並於政府內設立「殘疾人事務工作組」，制定政策時主動諮詢其意見。  </w:t>
      </w:r>
    </w:p>
    <w:p w14:paraId="384C65BE" w14:textId="77777777" w:rsidR="00EB79C3" w:rsidRPr="00C01C50" w:rsidRDefault="00000000">
      <w:pPr>
        <w:jc w:val="center"/>
        <w:rPr>
          <w:rFonts w:ascii="標楷體" w:eastAsia="標楷體" w:hAnsi="標楷體" w:cs="標楷體"/>
          <w:b/>
          <w:bCs/>
          <w:color w:val="000000" w:themeColor="text1"/>
        </w:rPr>
      </w:pPr>
      <w:r w:rsidRPr="00C01C50">
        <w:rPr>
          <w:rFonts w:ascii="標楷體" w:eastAsia="標楷體" w:hAnsi="標楷體" w:cs="標楷體"/>
          <w:b/>
          <w:bCs/>
          <w:color w:val="000000" w:themeColor="text1"/>
        </w:rPr>
        <w:lastRenderedPageBreak/>
        <w:t>（1）無障礙環境、設施與智慧出行</w:t>
      </w:r>
    </w:p>
    <w:p w14:paraId="65E7EF55" w14:textId="77777777" w:rsidR="00EB79C3" w:rsidRPr="00C01C50" w:rsidRDefault="00EB79C3">
      <w:pPr>
        <w:rPr>
          <w:rFonts w:ascii="標楷體" w:eastAsia="標楷體" w:hAnsi="標楷體" w:cs="標楷體"/>
          <w:color w:val="000000" w:themeColor="text1"/>
        </w:rPr>
      </w:pPr>
    </w:p>
    <w:p w14:paraId="0DD56A65" w14:textId="77777777" w:rsidR="00EB79C3" w:rsidRPr="00C01C50" w:rsidRDefault="00000000">
      <w:pPr>
        <w:widowControl/>
        <w:spacing w:after="200"/>
        <w:ind w:firstLine="496"/>
        <w:rPr>
          <w:rFonts w:ascii="標楷體" w:eastAsia="標楷體" w:hAnsi="標楷體" w:cs="標楷體"/>
          <w:color w:val="000000" w:themeColor="text1"/>
        </w:rPr>
      </w:pPr>
      <w:r w:rsidRPr="00C01C50">
        <w:rPr>
          <w:rFonts w:ascii="標楷體" w:eastAsia="標楷體" w:hAnsi="標楷體" w:cs="標楷體"/>
          <w:color w:val="000000" w:themeColor="text1"/>
        </w:rPr>
        <w:t>本會高度肯定政府近年在改善無障礙環境上的持續努力，包括規定新建住宅和商業建築物要有長者友善樓宇設計、更新屋宇署的</w:t>
      </w:r>
      <w:proofErr w:type="gramStart"/>
      <w:r w:rsidRPr="00C01C50">
        <w:rPr>
          <w:rFonts w:ascii="標楷體" w:eastAsia="標楷體" w:hAnsi="標楷體" w:cs="標楷體"/>
          <w:color w:val="000000" w:themeColor="text1"/>
        </w:rPr>
        <w:t>《</w:t>
      </w:r>
      <w:proofErr w:type="gramEnd"/>
      <w:r w:rsidRPr="00C01C50">
        <w:rPr>
          <w:rFonts w:ascii="標楷體" w:eastAsia="標楷體" w:hAnsi="標楷體" w:cs="標楷體"/>
          <w:color w:val="000000" w:themeColor="text1"/>
        </w:rPr>
        <w:t>設計手冊：暢通無阻的通道 2026</w:t>
      </w:r>
      <w:proofErr w:type="gramStart"/>
      <w:r w:rsidRPr="00C01C50">
        <w:rPr>
          <w:rFonts w:ascii="標楷體" w:eastAsia="標楷體" w:hAnsi="標楷體" w:cs="標楷體"/>
          <w:color w:val="000000" w:themeColor="text1"/>
        </w:rPr>
        <w:t>》</w:t>
      </w:r>
      <w:proofErr w:type="gramEnd"/>
      <w:r w:rsidRPr="00C01C50">
        <w:rPr>
          <w:rFonts w:ascii="標楷體" w:eastAsia="標楷體" w:hAnsi="標楷體" w:cs="標楷體"/>
          <w:color w:val="000000" w:themeColor="text1"/>
        </w:rPr>
        <w:t>(下稱《設計手冊》)</w:t>
      </w:r>
      <w:proofErr w:type="gramStart"/>
      <w:r w:rsidRPr="00C01C50">
        <w:rPr>
          <w:rFonts w:ascii="標楷體" w:eastAsia="標楷體" w:hAnsi="標楷體" w:cs="標楷體"/>
          <w:color w:val="000000" w:themeColor="text1"/>
        </w:rPr>
        <w:t>﹑</w:t>
      </w:r>
      <w:proofErr w:type="gramEnd"/>
      <w:r w:rsidRPr="00C01C50">
        <w:rPr>
          <w:rFonts w:ascii="標楷體" w:eastAsia="標楷體" w:hAnsi="標楷體" w:cs="標楷體"/>
          <w:color w:val="000000" w:themeColor="text1"/>
        </w:rPr>
        <w:t>完善「出行易」應用程式、增設無障礙碼頭設施、於公屋推行便利殘疾租戶的措施（包括在豁免醫療證明下，提供「可改動設計」及彈性家居改裝）等。部份業界亦作出響應，包括更新《無障礙銀行服務實務指引（第二版）》及於大型運動場所推動「無障礙賓客服務」培訓等。相關</w:t>
      </w:r>
      <w:proofErr w:type="gramStart"/>
      <w:r w:rsidRPr="00C01C50">
        <w:rPr>
          <w:rFonts w:ascii="標楷體" w:eastAsia="標楷體" w:hAnsi="標楷體" w:cs="標楷體"/>
          <w:color w:val="000000" w:themeColor="text1"/>
        </w:rPr>
        <w:t>措</w:t>
      </w:r>
      <w:proofErr w:type="gramEnd"/>
      <w:r w:rsidRPr="00C01C50">
        <w:rPr>
          <w:rFonts w:ascii="標楷體" w:eastAsia="標楷體" w:hAnsi="標楷體" w:cs="標楷體"/>
          <w:color w:val="000000" w:themeColor="text1"/>
        </w:rPr>
        <w:t>施有助完善無障礙環境的建設，並促進行動不便人士的社會參與及出行便利性。</w:t>
      </w:r>
    </w:p>
    <w:p w14:paraId="4F5F685A" w14:textId="77777777" w:rsidR="00EB79C3" w:rsidRPr="00C01C50" w:rsidRDefault="00000000">
      <w:pPr>
        <w:widowControl/>
        <w:spacing w:after="200"/>
        <w:ind w:firstLine="496"/>
        <w:rPr>
          <w:rFonts w:ascii="標楷體" w:eastAsia="標楷體" w:hAnsi="標楷體" w:cs="標楷體"/>
          <w:color w:val="000000" w:themeColor="text1"/>
        </w:rPr>
      </w:pPr>
      <w:r w:rsidRPr="00C01C50">
        <w:rPr>
          <w:rFonts w:ascii="標楷體" w:eastAsia="標楷體" w:hAnsi="標楷體" w:cs="標楷體"/>
          <w:color w:val="000000" w:themeColor="text1"/>
        </w:rPr>
        <w:t>然而，2008年前落成的舊有建築因缺乏政策誘因，其通達性一直未有顯著改善；同時，部分較新的建築物及「</w:t>
      </w:r>
      <w:proofErr w:type="gramStart"/>
      <w:r w:rsidRPr="00C01C50">
        <w:rPr>
          <w:rFonts w:ascii="標楷體" w:eastAsia="標楷體" w:hAnsi="標楷體" w:cs="標楷體"/>
          <w:color w:val="000000" w:themeColor="text1"/>
        </w:rPr>
        <w:t>街鋪」</w:t>
      </w:r>
      <w:proofErr w:type="gramEnd"/>
      <w:r w:rsidRPr="00C01C50">
        <w:rPr>
          <w:rFonts w:ascii="標楷體" w:eastAsia="標楷體" w:hAnsi="標楷體" w:cs="標楷體"/>
          <w:color w:val="000000" w:themeColor="text1"/>
        </w:rPr>
        <w:t>出入口，亦因巡查機制及法規監管不足，無障礙通達性仍然受限；而現行的公屋彈性家居改裝指引對各類改裝工程是否需要醫療證明的界定仍欠明確，令豁免安排及相關項目的具體適用情況不易理解。另外，在特區政府「無處不旅遊」的方針下，本港旅遊配套的無障礙設施及網上無障礙路線規劃工具則顯得不足。本會去年進行的</w:t>
      </w:r>
      <w:proofErr w:type="gramStart"/>
      <w:r w:rsidRPr="00C01C50">
        <w:rPr>
          <w:rFonts w:ascii="標楷體" w:eastAsia="標楷體" w:hAnsi="標楷體" w:cs="標楷體"/>
          <w:color w:val="000000" w:themeColor="text1"/>
        </w:rPr>
        <w:t>一</w:t>
      </w:r>
      <w:proofErr w:type="gramEnd"/>
      <w:r w:rsidRPr="00C01C50">
        <w:rPr>
          <w:rFonts w:ascii="標楷體" w:eastAsia="標楷體" w:hAnsi="標楷體" w:cs="標楷體"/>
          <w:color w:val="000000" w:themeColor="text1"/>
        </w:rPr>
        <w:t>項文化、體育及旅遊的通達性巡查，更發現逾半數無障礙設施未能完全符合《設計手冊》標準</w:t>
      </w:r>
      <w:r w:rsidRPr="00C01C50">
        <w:rPr>
          <w:rFonts w:ascii="標楷體" w:eastAsia="標楷體" w:hAnsi="標楷體" w:cs="標楷體"/>
          <w:color w:val="000000" w:themeColor="text1"/>
          <w:vertAlign w:val="superscript"/>
        </w:rPr>
        <w:footnoteReference w:id="1"/>
      </w:r>
      <w:r w:rsidRPr="00C01C50">
        <w:rPr>
          <w:rFonts w:ascii="標楷體" w:eastAsia="標楷體" w:hAnsi="標楷體" w:cs="標楷體"/>
          <w:color w:val="000000" w:themeColor="text1"/>
        </w:rPr>
        <w:t>。同時，各類無障礙設施及路線</w:t>
      </w:r>
      <w:proofErr w:type="gramStart"/>
      <w:r w:rsidRPr="00C01C50">
        <w:rPr>
          <w:rFonts w:ascii="標楷體" w:eastAsia="標楷體" w:hAnsi="標楷體" w:cs="標楷體"/>
          <w:color w:val="000000" w:themeColor="text1"/>
        </w:rPr>
        <w:t>資訊仍散見於</w:t>
      </w:r>
      <w:proofErr w:type="gramEnd"/>
      <w:r w:rsidRPr="00C01C50">
        <w:rPr>
          <w:rFonts w:ascii="標楷體" w:eastAsia="標楷體" w:hAnsi="標楷體" w:cs="標楷體"/>
          <w:color w:val="000000" w:themeColor="text1"/>
        </w:rPr>
        <w:t>不同平台和數據庫，欠缺互通及系統整合，令殘疾人士難以獲取完整、可靠的出行資訊，而現行防災及緊急事故應變機制亦普遍未有充分考慮殘疾人士在疏散及救援過程中的特殊需要。</w:t>
      </w:r>
    </w:p>
    <w:p w14:paraId="1A331F5C" w14:textId="77777777" w:rsidR="00EB79C3" w:rsidRPr="00C01C50" w:rsidRDefault="00000000">
      <w:pPr>
        <w:widowControl/>
        <w:ind w:firstLine="496"/>
        <w:rPr>
          <w:rFonts w:ascii="標楷體" w:eastAsia="標楷體" w:hAnsi="標楷體" w:cs="標楷體"/>
          <w:color w:val="000000" w:themeColor="text1"/>
        </w:rPr>
      </w:pPr>
      <w:r w:rsidRPr="00C01C50">
        <w:rPr>
          <w:rFonts w:ascii="標楷體" w:eastAsia="標楷體" w:hAnsi="標楷體" w:cs="標楷體"/>
          <w:color w:val="000000" w:themeColor="text1"/>
        </w:rPr>
        <w:t>適逢</w:t>
      </w:r>
      <w:r w:rsidRPr="00C01C50">
        <w:rPr>
          <w:rFonts w:ascii="標楷體" w:eastAsia="標楷體" w:hAnsi="標楷體" w:cs="標楷體"/>
          <w:color w:val="000000" w:themeColor="text1"/>
          <w:highlight w:val="white"/>
        </w:rPr>
        <w:t>國家「十五五」規劃</w:t>
      </w:r>
      <w:r w:rsidRPr="00C01C50">
        <w:rPr>
          <w:rFonts w:ascii="標楷體" w:eastAsia="標楷體" w:hAnsi="標楷體" w:cs="標楷體"/>
          <w:color w:val="000000" w:themeColor="text1"/>
        </w:rPr>
        <w:t>提出「推進城鄉無障礙設施建設和改造」以及「推動信息交流無障礙和公共服務無障礙」等明確方向，強調持續完善社區無障礙環境，並提高殘疾人參與規劃、建設和監督的程度，以提升社會整體通達性及殘疾人士的參與權利。有見及此，本會建議政府在環境建設、文體旅發展與智慧城市規劃層面，參照上述方向於香港五年規劃內制訂具體發展目標，全面落實「通用設計主流化」理念及支持殘疾人參與，以構建暢通易達的社區，並促進無障礙旅遊與智慧出行。具體措施建議如下：</w:t>
      </w:r>
    </w:p>
    <w:p w14:paraId="3646DE05" w14:textId="77777777" w:rsidR="00EB79C3" w:rsidRPr="00C01C50" w:rsidRDefault="00EB79C3">
      <w:pPr>
        <w:widowControl/>
        <w:rPr>
          <w:rFonts w:ascii="標楷體" w:eastAsia="標楷體" w:hAnsi="標楷體" w:cs="標楷體"/>
          <w:color w:val="000000" w:themeColor="text1"/>
          <w:u w:val="single"/>
        </w:rPr>
      </w:pPr>
    </w:p>
    <w:p w14:paraId="57C0383D" w14:textId="77777777" w:rsidR="00EB79C3" w:rsidRPr="00C01C50" w:rsidRDefault="00000000">
      <w:pPr>
        <w:widowControl/>
        <w:rPr>
          <w:rFonts w:ascii="標楷體" w:eastAsia="標楷體" w:hAnsi="標楷體" w:cs="標楷體"/>
          <w:color w:val="000000" w:themeColor="text1"/>
          <w:u w:val="single"/>
        </w:rPr>
      </w:pPr>
      <w:r w:rsidRPr="00C01C50">
        <w:rPr>
          <w:rFonts w:ascii="標楷體" w:eastAsia="標楷體" w:hAnsi="標楷體" w:cs="標楷體"/>
          <w:color w:val="000000" w:themeColor="text1"/>
          <w:u w:val="single"/>
        </w:rPr>
        <w:t>強化無障礙環境規劃的</w:t>
      </w:r>
      <w:proofErr w:type="gramStart"/>
      <w:r w:rsidRPr="00C01C50">
        <w:rPr>
          <w:rFonts w:ascii="標楷體" w:eastAsia="標楷體" w:hAnsi="標楷體" w:cs="標楷體"/>
          <w:color w:val="000000" w:themeColor="text1"/>
          <w:u w:val="single"/>
        </w:rPr>
        <w:t>持份者參與</w:t>
      </w:r>
      <w:proofErr w:type="gramEnd"/>
    </w:p>
    <w:p w14:paraId="043A4E83" w14:textId="77777777" w:rsidR="00EB79C3" w:rsidRPr="00C01C50" w:rsidRDefault="00000000">
      <w:pPr>
        <w:widowControl/>
        <w:numPr>
          <w:ilvl w:val="0"/>
          <w:numId w:val="20"/>
        </w:numPr>
        <w:rPr>
          <w:rFonts w:ascii="標楷體" w:eastAsia="標楷體" w:hAnsi="標楷體" w:cs="標楷體"/>
          <w:color w:val="000000" w:themeColor="text1"/>
        </w:rPr>
      </w:pPr>
      <w:r w:rsidRPr="00C01C50">
        <w:rPr>
          <w:rFonts w:ascii="標楷體" w:eastAsia="標楷體" w:hAnsi="標楷體" w:cs="標楷體"/>
          <w:color w:val="000000" w:themeColor="text1"/>
        </w:rPr>
        <w:t>擴大無障礙環境規劃的</w:t>
      </w:r>
      <w:proofErr w:type="gramStart"/>
      <w:r w:rsidRPr="00C01C50">
        <w:rPr>
          <w:rFonts w:ascii="標楷體" w:eastAsia="標楷體" w:hAnsi="標楷體" w:cs="標楷體"/>
          <w:color w:val="000000" w:themeColor="text1"/>
        </w:rPr>
        <w:t>持份者參與</w:t>
      </w:r>
      <w:proofErr w:type="gramEnd"/>
      <w:r w:rsidRPr="00C01C50">
        <w:rPr>
          <w:rFonts w:ascii="標楷體" w:eastAsia="標楷體" w:hAnsi="標楷體" w:cs="標楷體"/>
          <w:color w:val="000000" w:themeColor="text1"/>
        </w:rPr>
        <w:t>度，建立具廣泛代表性的諮詢機制，讓殘疾人士及特殊需要社群直接參與基建項目的設計。具體措施包括：</w:t>
      </w:r>
    </w:p>
    <w:p w14:paraId="4BE29C9B" w14:textId="77777777" w:rsidR="00EB79C3" w:rsidRPr="00C01C50" w:rsidRDefault="00000000">
      <w:pPr>
        <w:widowControl/>
        <w:numPr>
          <w:ilvl w:val="1"/>
          <w:numId w:val="20"/>
        </w:numPr>
        <w:rPr>
          <w:rFonts w:ascii="標楷體" w:eastAsia="標楷體" w:hAnsi="標楷體" w:cs="標楷體"/>
          <w:color w:val="000000" w:themeColor="text1"/>
        </w:rPr>
      </w:pPr>
      <w:r w:rsidRPr="00C01C50">
        <w:rPr>
          <w:rFonts w:ascii="標楷體" w:eastAsia="標楷體" w:hAnsi="標楷體" w:cs="標楷體"/>
          <w:b/>
          <w:bCs/>
          <w:color w:val="000000" w:themeColor="text1"/>
        </w:rPr>
        <w:t>配合國家「十五五」規劃中「重點發展北部都會區」方針，以及該區公共設施需求日增的趨勢，政府於規劃大型運輸、文體旅及社福基建 (如古</w:t>
      </w:r>
      <w:proofErr w:type="gramStart"/>
      <w:r w:rsidRPr="00C01C50">
        <w:rPr>
          <w:rFonts w:ascii="標楷體" w:eastAsia="標楷體" w:hAnsi="標楷體" w:cs="標楷體"/>
          <w:b/>
          <w:bCs/>
          <w:color w:val="000000" w:themeColor="text1"/>
        </w:rPr>
        <w:t>洞北聯用</w:t>
      </w:r>
      <w:proofErr w:type="gramEnd"/>
      <w:r w:rsidRPr="00C01C50">
        <w:rPr>
          <w:rFonts w:ascii="標楷體" w:eastAsia="標楷體" w:hAnsi="標楷體" w:cs="標楷體"/>
          <w:b/>
          <w:bCs/>
          <w:color w:val="000000" w:themeColor="text1"/>
        </w:rPr>
        <w:t>綜合大樓</w:t>
      </w:r>
      <w:proofErr w:type="gramStart"/>
      <w:r w:rsidRPr="00C01C50">
        <w:rPr>
          <w:rFonts w:ascii="標楷體" w:eastAsia="標楷體" w:hAnsi="標楷體" w:cs="標楷體"/>
          <w:b/>
          <w:bCs/>
          <w:color w:val="000000" w:themeColor="text1"/>
        </w:rPr>
        <w:t>及聯用辦公</w:t>
      </w:r>
      <w:proofErr w:type="gramEnd"/>
      <w:r w:rsidRPr="00C01C50">
        <w:rPr>
          <w:rFonts w:ascii="標楷體" w:eastAsia="標楷體" w:hAnsi="標楷體" w:cs="標楷體"/>
          <w:b/>
          <w:bCs/>
          <w:color w:val="000000" w:themeColor="text1"/>
        </w:rPr>
        <w:t>大樓</w:t>
      </w:r>
      <w:proofErr w:type="gramStart"/>
      <w:r w:rsidRPr="00C01C50">
        <w:rPr>
          <w:rFonts w:ascii="標楷體" w:eastAsia="標楷體" w:hAnsi="標楷體" w:cs="標楷體"/>
          <w:b/>
          <w:bCs/>
          <w:color w:val="000000" w:themeColor="text1"/>
        </w:rPr>
        <w:t>）</w:t>
      </w:r>
      <w:proofErr w:type="gramEnd"/>
      <w:r w:rsidRPr="00C01C50">
        <w:rPr>
          <w:rFonts w:ascii="標楷體" w:eastAsia="標楷體" w:hAnsi="標楷體" w:cs="標楷體"/>
          <w:b/>
          <w:bCs/>
          <w:color w:val="000000" w:themeColor="text1"/>
        </w:rPr>
        <w:t>的籌備階段，於「北部都會區諮詢委員會」內增設由不同障別代表擔任的「無障礙諮詢委員」席位及「全過程諮詢」機制</w:t>
      </w:r>
      <w:r w:rsidRPr="00C01C50">
        <w:rPr>
          <w:rFonts w:ascii="標楷體" w:eastAsia="標楷體" w:hAnsi="標楷體" w:cs="標楷體"/>
          <w:color w:val="000000" w:themeColor="text1"/>
        </w:rPr>
        <w:t>，讓殘疾人士從「初期設計」至「落成前試營運測試」皆能參與規劃，確保設施與服務流程切合其需求。</w:t>
      </w:r>
    </w:p>
    <w:p w14:paraId="4F9EB5CF" w14:textId="77777777" w:rsidR="00EB79C3" w:rsidRPr="00C01C50" w:rsidRDefault="00000000">
      <w:pPr>
        <w:widowControl/>
        <w:numPr>
          <w:ilvl w:val="1"/>
          <w:numId w:val="20"/>
        </w:numPr>
        <w:rPr>
          <w:rFonts w:ascii="標楷體" w:eastAsia="標楷體" w:hAnsi="標楷體" w:cs="標楷體"/>
          <w:color w:val="000000" w:themeColor="text1"/>
        </w:rPr>
      </w:pPr>
      <w:r w:rsidRPr="00C01C50">
        <w:rPr>
          <w:rFonts w:ascii="標楷體" w:eastAsia="標楷體" w:hAnsi="標楷體" w:cs="標楷體"/>
          <w:b/>
          <w:bCs/>
          <w:color w:val="000000" w:themeColor="text1"/>
        </w:rPr>
        <w:t>參考現行「殘疾人士使用公共交通工具工作小組會議」模式，設立「無障礙環境工作小組會議」</w:t>
      </w:r>
      <w:r w:rsidRPr="00C01C50">
        <w:rPr>
          <w:rFonts w:ascii="標楷體" w:eastAsia="標楷體" w:hAnsi="標楷體" w:cs="標楷體"/>
          <w:color w:val="000000" w:themeColor="text1"/>
        </w:rPr>
        <w:t>。定期連</w:t>
      </w:r>
      <w:proofErr w:type="gramStart"/>
      <w:r w:rsidRPr="00C01C50">
        <w:rPr>
          <w:rFonts w:ascii="標楷體" w:eastAsia="標楷體" w:hAnsi="標楷體" w:cs="標楷體"/>
          <w:color w:val="000000" w:themeColor="text1"/>
        </w:rPr>
        <w:t>繫</w:t>
      </w:r>
      <w:proofErr w:type="gramEnd"/>
      <w:r w:rsidRPr="00C01C50">
        <w:rPr>
          <w:rFonts w:ascii="標楷體" w:eastAsia="標楷體" w:hAnsi="標楷體" w:cs="標楷體"/>
          <w:color w:val="000000" w:themeColor="text1"/>
        </w:rPr>
        <w:t>殘疾人士、復康機構及相關部門 (地政總署、路政署、屋宇署等)，建立機制反映和跟進社區設施缺口；</w:t>
      </w:r>
    </w:p>
    <w:p w14:paraId="16B19554" w14:textId="77777777" w:rsidR="00EB79C3" w:rsidRPr="00C01C50" w:rsidRDefault="00EB79C3">
      <w:pPr>
        <w:widowControl/>
        <w:rPr>
          <w:rFonts w:ascii="標楷體" w:eastAsia="標楷體" w:hAnsi="標楷體" w:cs="標楷體"/>
          <w:color w:val="000000" w:themeColor="text1"/>
        </w:rPr>
      </w:pPr>
    </w:p>
    <w:p w14:paraId="35BA63CD" w14:textId="77777777" w:rsidR="00EB79C3" w:rsidRPr="00C01C50" w:rsidRDefault="00EB79C3">
      <w:pPr>
        <w:widowControl/>
        <w:rPr>
          <w:rFonts w:ascii="標楷體" w:eastAsia="標楷體" w:hAnsi="標楷體" w:cs="標楷體"/>
          <w:color w:val="000000" w:themeColor="text1"/>
          <w:u w:val="single"/>
        </w:rPr>
      </w:pPr>
    </w:p>
    <w:p w14:paraId="4A93705C" w14:textId="77777777" w:rsidR="00EB79C3" w:rsidRPr="00C01C50" w:rsidRDefault="00000000">
      <w:pPr>
        <w:widowControl/>
        <w:rPr>
          <w:rFonts w:ascii="標楷體" w:eastAsia="標楷體" w:hAnsi="標楷體" w:cs="標楷體"/>
          <w:color w:val="000000" w:themeColor="text1"/>
          <w:u w:val="single"/>
        </w:rPr>
      </w:pPr>
      <w:r w:rsidRPr="00C01C50">
        <w:rPr>
          <w:rFonts w:ascii="標楷體" w:eastAsia="標楷體" w:hAnsi="標楷體" w:cs="標楷體"/>
          <w:color w:val="000000" w:themeColor="text1"/>
          <w:u w:val="single"/>
        </w:rPr>
        <w:t>提升新舊建築物暢通易達程度 便利行動不便人士居住及出行</w:t>
      </w:r>
    </w:p>
    <w:p w14:paraId="154A5ECE" w14:textId="77777777" w:rsidR="00EB79C3" w:rsidRPr="00C01C50" w:rsidRDefault="00000000">
      <w:pPr>
        <w:widowControl/>
        <w:numPr>
          <w:ilvl w:val="0"/>
          <w:numId w:val="20"/>
        </w:numPr>
        <w:rPr>
          <w:rFonts w:ascii="標楷體" w:eastAsia="標楷體" w:hAnsi="標楷體" w:cs="標楷體"/>
          <w:color w:val="000000" w:themeColor="text1"/>
        </w:rPr>
      </w:pPr>
      <w:r w:rsidRPr="00C01C50">
        <w:rPr>
          <w:rFonts w:ascii="標楷體" w:eastAsia="標楷體" w:hAnsi="標楷體" w:cs="標楷體"/>
          <w:b/>
          <w:bCs/>
          <w:color w:val="000000" w:themeColor="text1"/>
        </w:rPr>
        <w:t>五年內制定長遠全面規劃，以推動舊樓宇的無障礙改造及監管，使新舊樓宇同樣便利殘疾人士出行：</w:t>
      </w:r>
    </w:p>
    <w:p w14:paraId="6123AF18" w14:textId="77777777" w:rsidR="00EB79C3" w:rsidRPr="00C01C50" w:rsidRDefault="00000000">
      <w:pPr>
        <w:widowControl/>
        <w:numPr>
          <w:ilvl w:val="1"/>
          <w:numId w:val="20"/>
        </w:numPr>
        <w:rPr>
          <w:rFonts w:ascii="標楷體" w:eastAsia="標楷體" w:hAnsi="標楷體" w:cs="標楷體"/>
          <w:color w:val="000000" w:themeColor="text1"/>
        </w:rPr>
      </w:pPr>
      <w:r w:rsidRPr="00C01C50">
        <w:rPr>
          <w:rFonts w:ascii="標楷體" w:eastAsia="標楷體" w:hAnsi="標楷體" w:cs="標楷體"/>
          <w:color w:val="000000" w:themeColor="text1"/>
        </w:rPr>
        <w:t>研究將《建築物條例》的無障礙要求延伸至2008年前落成的舊建築，並應在未來兩年內推出具體的「舊樓宇改造方案與資助框架」，及設立「五年成效指標」，以利公眾追蹤進度；</w:t>
      </w:r>
    </w:p>
    <w:p w14:paraId="310116A5" w14:textId="77777777" w:rsidR="00EB79C3" w:rsidRPr="00C01C50" w:rsidRDefault="00000000">
      <w:pPr>
        <w:widowControl/>
        <w:numPr>
          <w:ilvl w:val="1"/>
          <w:numId w:val="20"/>
        </w:numPr>
        <w:rPr>
          <w:rFonts w:ascii="標楷體" w:eastAsia="標楷體" w:hAnsi="標楷體" w:cs="標楷體"/>
          <w:color w:val="000000" w:themeColor="text1"/>
        </w:rPr>
      </w:pPr>
      <w:proofErr w:type="gramStart"/>
      <w:r w:rsidRPr="00C01C50">
        <w:rPr>
          <w:rFonts w:ascii="標楷體" w:eastAsia="標楷體" w:hAnsi="標楷體" w:cs="標楷體"/>
          <w:color w:val="000000" w:themeColor="text1"/>
        </w:rPr>
        <w:t>針對舊區</w:t>
      </w:r>
      <w:proofErr w:type="gramEnd"/>
      <w:r w:rsidRPr="00C01C50">
        <w:rPr>
          <w:rFonts w:ascii="標楷體" w:eastAsia="標楷體" w:hAnsi="標楷體" w:cs="標楷體"/>
          <w:color w:val="000000" w:themeColor="text1"/>
        </w:rPr>
        <w:t>，優先推動人流密集，且提供公共服務及商業設施的舊有商廈進行無障礙改造，聚焦最有迫切需要的建築物。同時參考澳洲，設立豁免機制，容許受結構或地形限制（如地形因素或建築結構）的個案在審批後獲豁免；</w:t>
      </w:r>
    </w:p>
    <w:p w14:paraId="11CE7323" w14:textId="77777777" w:rsidR="00EB79C3" w:rsidRPr="00C01C50" w:rsidRDefault="00000000">
      <w:pPr>
        <w:widowControl/>
        <w:numPr>
          <w:ilvl w:val="1"/>
          <w:numId w:val="20"/>
        </w:numPr>
        <w:rPr>
          <w:rFonts w:ascii="標楷體" w:eastAsia="標楷體" w:hAnsi="標楷體" w:cs="標楷體"/>
          <w:color w:val="000000" w:themeColor="text1"/>
        </w:rPr>
      </w:pPr>
      <w:r w:rsidRPr="00C01C50">
        <w:rPr>
          <w:rFonts w:ascii="標楷體" w:eastAsia="標楷體" w:hAnsi="標楷體" w:cs="標楷體"/>
          <w:color w:val="000000" w:themeColor="text1"/>
        </w:rPr>
        <w:t>於「樓宇復修綜合支援計劃」或政府正全面檢視的「樓宇更新大行動2.0」中增設針對無障礙環境優化及改建的專項資助。可參考新加坡“Accessibility Fund”，</w:t>
      </w:r>
      <w:proofErr w:type="gramStart"/>
      <w:r w:rsidRPr="00C01C50">
        <w:rPr>
          <w:rFonts w:ascii="標楷體" w:eastAsia="標楷體" w:hAnsi="標楷體" w:cs="標楷體"/>
          <w:color w:val="000000" w:themeColor="text1"/>
        </w:rPr>
        <w:t>按樓齡</w:t>
      </w:r>
      <w:proofErr w:type="gramEnd"/>
      <w:r w:rsidRPr="00C01C50">
        <w:rPr>
          <w:rFonts w:ascii="標楷體" w:eastAsia="標楷體" w:hAnsi="標楷體" w:cs="標楷體"/>
          <w:color w:val="000000" w:themeColor="text1"/>
        </w:rPr>
        <w:t>提供分級補貼（即樓齡越高的建築獲發越高的資助），以經濟誘因推動業主改善無障礙環境；</w:t>
      </w:r>
    </w:p>
    <w:p w14:paraId="3823CC39" w14:textId="77777777" w:rsidR="00EB79C3" w:rsidRPr="00C01C50" w:rsidRDefault="00000000">
      <w:pPr>
        <w:widowControl/>
        <w:numPr>
          <w:ilvl w:val="1"/>
          <w:numId w:val="20"/>
        </w:numPr>
        <w:rPr>
          <w:rFonts w:ascii="標楷體" w:eastAsia="標楷體" w:hAnsi="標楷體" w:cs="標楷體"/>
          <w:color w:val="000000" w:themeColor="text1"/>
        </w:rPr>
      </w:pPr>
      <w:r w:rsidRPr="00C01C50">
        <w:rPr>
          <w:rFonts w:ascii="標楷體" w:eastAsia="標楷體" w:hAnsi="標楷體" w:cs="標楷體"/>
          <w:b/>
          <w:bCs/>
          <w:color w:val="000000" w:themeColor="text1"/>
        </w:rPr>
        <w:t>檢視並修訂現行法例，明確將使用可移動</w:t>
      </w:r>
      <w:proofErr w:type="gramStart"/>
      <w:r w:rsidRPr="00C01C50">
        <w:rPr>
          <w:rFonts w:ascii="標楷體" w:eastAsia="標楷體" w:hAnsi="標楷體" w:cs="標楷體"/>
          <w:b/>
          <w:bCs/>
          <w:color w:val="000000" w:themeColor="text1"/>
        </w:rPr>
        <w:t>物料或雜物</w:t>
      </w:r>
      <w:proofErr w:type="gramEnd"/>
      <w:r w:rsidRPr="00C01C50">
        <w:rPr>
          <w:rFonts w:ascii="標楷體" w:eastAsia="標楷體" w:hAnsi="標楷體" w:cs="標楷體"/>
          <w:b/>
          <w:bCs/>
          <w:color w:val="000000" w:themeColor="text1"/>
        </w:rPr>
        <w:t>堵塞建築物及「</w:t>
      </w:r>
      <w:proofErr w:type="gramStart"/>
      <w:r w:rsidRPr="00C01C50">
        <w:rPr>
          <w:rFonts w:ascii="標楷體" w:eastAsia="標楷體" w:hAnsi="標楷體" w:cs="標楷體"/>
          <w:b/>
          <w:bCs/>
          <w:color w:val="000000" w:themeColor="text1"/>
        </w:rPr>
        <w:t>街鋪」出入口斜道</w:t>
      </w:r>
      <w:proofErr w:type="gramEnd"/>
      <w:r w:rsidRPr="00C01C50">
        <w:rPr>
          <w:rFonts w:ascii="標楷體" w:eastAsia="標楷體" w:hAnsi="標楷體" w:cs="標楷體"/>
          <w:b/>
          <w:bCs/>
          <w:color w:val="000000" w:themeColor="text1"/>
        </w:rPr>
        <w:t>納入監管範圍，</w:t>
      </w:r>
      <w:r w:rsidRPr="00C01C50">
        <w:rPr>
          <w:rFonts w:ascii="標楷體" w:eastAsia="標楷體" w:hAnsi="標楷體" w:cs="標楷體"/>
          <w:color w:val="000000" w:themeColor="text1"/>
        </w:rPr>
        <w:t>杜絕</w:t>
      </w:r>
      <w:proofErr w:type="gramStart"/>
      <w:r w:rsidRPr="00C01C50">
        <w:rPr>
          <w:rFonts w:ascii="標楷體" w:eastAsia="標楷體" w:hAnsi="標楷體" w:cs="標楷體"/>
          <w:color w:val="000000" w:themeColor="text1"/>
        </w:rPr>
        <w:t>堵塞斜道</w:t>
      </w:r>
      <w:proofErr w:type="gramEnd"/>
      <w:r w:rsidRPr="00C01C50">
        <w:rPr>
          <w:rFonts w:ascii="標楷體" w:eastAsia="標楷體" w:hAnsi="標楷體" w:cs="標楷體"/>
          <w:color w:val="000000" w:themeColor="text1"/>
        </w:rPr>
        <w:t>的行為；</w:t>
      </w:r>
    </w:p>
    <w:p w14:paraId="505E7DA0" w14:textId="77777777" w:rsidR="00EB79C3" w:rsidRPr="00C01C50" w:rsidRDefault="00000000">
      <w:pPr>
        <w:widowControl/>
        <w:numPr>
          <w:ilvl w:val="1"/>
          <w:numId w:val="20"/>
        </w:numPr>
        <w:rPr>
          <w:rFonts w:ascii="標楷體" w:eastAsia="標楷體" w:hAnsi="標楷體" w:cs="標楷體"/>
          <w:color w:val="000000" w:themeColor="text1"/>
        </w:rPr>
      </w:pPr>
      <w:r w:rsidRPr="00C01C50">
        <w:rPr>
          <w:rFonts w:ascii="標楷體" w:eastAsia="標楷體" w:hAnsi="標楷體" w:cs="標楷體"/>
          <w:color w:val="000000" w:themeColor="text1"/>
        </w:rPr>
        <w:t>屋宇署提高「路路通行動計劃」的年度巡查樓宇數目，主動打擊建築物違規及無障礙設施失修問題。</w:t>
      </w:r>
      <w:proofErr w:type="gramStart"/>
      <w:r w:rsidRPr="00C01C50">
        <w:rPr>
          <w:rFonts w:ascii="標楷體" w:eastAsia="標楷體" w:hAnsi="標楷體" w:cs="標楷體"/>
          <w:color w:val="000000" w:themeColor="text1"/>
        </w:rPr>
        <w:t>此外，</w:t>
      </w:r>
      <w:proofErr w:type="gramEnd"/>
      <w:r w:rsidRPr="00C01C50">
        <w:rPr>
          <w:rFonts w:ascii="標楷體" w:eastAsia="標楷體" w:hAnsi="標楷體" w:cs="標楷體"/>
          <w:color w:val="000000" w:themeColor="text1"/>
        </w:rPr>
        <w:t>應將無障礙評估與現行的「</w:t>
      </w:r>
      <w:proofErr w:type="gramStart"/>
      <w:r w:rsidRPr="00C01C50">
        <w:rPr>
          <w:rFonts w:ascii="標楷體" w:eastAsia="標楷體" w:hAnsi="標楷體" w:cs="標楷體"/>
          <w:color w:val="000000" w:themeColor="text1"/>
        </w:rPr>
        <w:t>強制驗樓計劃</w:t>
      </w:r>
      <w:proofErr w:type="gramEnd"/>
      <w:r w:rsidRPr="00C01C50">
        <w:rPr>
          <w:rFonts w:ascii="標楷體" w:eastAsia="標楷體" w:hAnsi="標楷體" w:cs="標楷體"/>
          <w:color w:val="000000" w:themeColor="text1"/>
        </w:rPr>
        <w:t>」結合，</w:t>
      </w:r>
      <w:proofErr w:type="gramStart"/>
      <w:r w:rsidRPr="00C01C50">
        <w:rPr>
          <w:rFonts w:ascii="標楷體" w:eastAsia="標楷體" w:hAnsi="標楷體" w:cs="標楷體"/>
          <w:color w:val="000000" w:themeColor="text1"/>
        </w:rPr>
        <w:t>在驗樓時</w:t>
      </w:r>
      <w:proofErr w:type="gramEnd"/>
      <w:r w:rsidRPr="00C01C50">
        <w:rPr>
          <w:rFonts w:ascii="標楷體" w:eastAsia="標楷體" w:hAnsi="標楷體" w:cs="標楷體"/>
          <w:color w:val="000000" w:themeColor="text1"/>
        </w:rPr>
        <w:t>同步檢視通達程度，並勒令未達標的業主及物管公司改善。</w:t>
      </w:r>
    </w:p>
    <w:p w14:paraId="54063193" w14:textId="77777777" w:rsidR="00EB79C3" w:rsidRPr="00C01C50" w:rsidRDefault="00EB79C3">
      <w:pPr>
        <w:widowControl/>
        <w:rPr>
          <w:rFonts w:ascii="標楷體" w:eastAsia="標楷體" w:hAnsi="標楷體" w:cs="標楷體"/>
          <w:color w:val="000000" w:themeColor="text1"/>
        </w:rPr>
      </w:pPr>
    </w:p>
    <w:p w14:paraId="0CA8B510" w14:textId="77777777" w:rsidR="00EB79C3" w:rsidRPr="00C01C50" w:rsidRDefault="00000000">
      <w:pPr>
        <w:widowControl/>
        <w:numPr>
          <w:ilvl w:val="0"/>
          <w:numId w:val="20"/>
        </w:numPr>
        <w:rPr>
          <w:rFonts w:ascii="標楷體" w:eastAsia="標楷體" w:hAnsi="標楷體" w:cs="標楷體"/>
          <w:color w:val="000000" w:themeColor="text1"/>
        </w:rPr>
      </w:pPr>
      <w:r w:rsidRPr="00C01C50">
        <w:rPr>
          <w:rFonts w:ascii="標楷體" w:eastAsia="標楷體" w:hAnsi="標楷體" w:cs="標楷體"/>
          <w:color w:val="000000" w:themeColor="text1"/>
        </w:rPr>
        <w:t>將「長者房屋政策」中，</w:t>
      </w:r>
      <w:r w:rsidRPr="00C01C50">
        <w:rPr>
          <w:rFonts w:ascii="標楷體" w:eastAsia="標楷體" w:hAnsi="標楷體" w:cs="標楷體"/>
          <w:b/>
          <w:bCs/>
          <w:color w:val="000000" w:themeColor="text1"/>
        </w:rPr>
        <w:t>豁免醫療證明的「可改動設計」及彈性家居改動安排，擴展至殘疾人士，以完善公營房屋改裝機制</w:t>
      </w:r>
      <w:r w:rsidRPr="00C01C50">
        <w:rPr>
          <w:rFonts w:ascii="標楷體" w:eastAsia="標楷體" w:hAnsi="標楷體" w:cs="標楷體"/>
          <w:color w:val="000000" w:themeColor="text1"/>
        </w:rPr>
        <w:t>。同時，</w:t>
      </w:r>
      <w:proofErr w:type="gramStart"/>
      <w:r w:rsidRPr="00C01C50">
        <w:rPr>
          <w:rFonts w:ascii="標楷體" w:eastAsia="標楷體" w:hAnsi="標楷體" w:cs="標楷體"/>
          <w:color w:val="000000" w:themeColor="text1"/>
        </w:rPr>
        <w:t>釐</w:t>
      </w:r>
      <w:proofErr w:type="gramEnd"/>
      <w:r w:rsidRPr="00C01C50">
        <w:rPr>
          <w:rFonts w:ascii="標楷體" w:eastAsia="標楷體" w:hAnsi="標楷體" w:cs="標楷體"/>
          <w:color w:val="000000" w:themeColor="text1"/>
        </w:rPr>
        <w:t>清並公布申請改裝工程時，須否提交醫療證明的準則，便利殘疾人士申請常規家居改善工程。</w:t>
      </w:r>
    </w:p>
    <w:p w14:paraId="3F36E66D" w14:textId="77777777" w:rsidR="00EB79C3" w:rsidRPr="00C01C50" w:rsidRDefault="00EB79C3">
      <w:pPr>
        <w:widowControl/>
        <w:rPr>
          <w:rFonts w:ascii="標楷體" w:eastAsia="標楷體" w:hAnsi="標楷體" w:cs="標楷體"/>
          <w:color w:val="000000" w:themeColor="text1"/>
        </w:rPr>
      </w:pPr>
    </w:p>
    <w:p w14:paraId="3832C59B" w14:textId="77777777" w:rsidR="00EB79C3" w:rsidRPr="00C01C50" w:rsidRDefault="00000000">
      <w:pPr>
        <w:widowControl/>
        <w:numPr>
          <w:ilvl w:val="0"/>
          <w:numId w:val="20"/>
        </w:numPr>
        <w:rPr>
          <w:rFonts w:ascii="標楷體" w:eastAsia="標楷體" w:hAnsi="標楷體" w:cs="標楷體"/>
          <w:color w:val="000000" w:themeColor="text1"/>
        </w:rPr>
      </w:pPr>
      <w:r w:rsidRPr="00C01C50">
        <w:rPr>
          <w:rFonts w:ascii="標楷體" w:eastAsia="標楷體" w:hAnsi="標楷體" w:cs="標楷體"/>
          <w:color w:val="000000" w:themeColor="text1"/>
        </w:rPr>
        <w:t>由政府或平機會向物業管理公司發布指引，要求物業設立友善上</w:t>
      </w:r>
      <w:proofErr w:type="gramStart"/>
      <w:r w:rsidRPr="00C01C50">
        <w:rPr>
          <w:rFonts w:ascii="標楷體" w:eastAsia="標楷體" w:hAnsi="標楷體" w:cs="標楷體"/>
          <w:color w:val="000000" w:themeColor="text1"/>
        </w:rPr>
        <w:t>落客區</w:t>
      </w:r>
      <w:proofErr w:type="gramEnd"/>
      <w:r w:rsidRPr="00C01C50">
        <w:rPr>
          <w:rFonts w:ascii="標楷體" w:eastAsia="標楷體" w:hAnsi="標楷體" w:cs="標楷體"/>
          <w:color w:val="000000" w:themeColor="text1"/>
        </w:rPr>
        <w:t>，並</w:t>
      </w:r>
      <w:r w:rsidRPr="00C01C50">
        <w:rPr>
          <w:rFonts w:ascii="標楷體" w:eastAsia="標楷體" w:hAnsi="標楷體" w:cs="標楷體"/>
          <w:b/>
          <w:bCs/>
          <w:color w:val="000000" w:themeColor="text1"/>
        </w:rPr>
        <w:t>規範復康巴士及無障礙車輛的進出權限，</w:t>
      </w:r>
      <w:r w:rsidRPr="00C01C50">
        <w:rPr>
          <w:rFonts w:ascii="標楷體" w:eastAsia="標楷體" w:hAnsi="標楷體" w:cs="標楷體"/>
          <w:color w:val="000000" w:themeColor="text1"/>
        </w:rPr>
        <w:t>藉此避免無障礙車輛進入私人</w:t>
      </w:r>
      <w:proofErr w:type="gramStart"/>
      <w:r w:rsidRPr="00C01C50">
        <w:rPr>
          <w:rFonts w:ascii="標楷體" w:eastAsia="標楷體" w:hAnsi="標楷體" w:cs="標楷體"/>
          <w:color w:val="000000" w:themeColor="text1"/>
        </w:rPr>
        <w:t>屋苑或</w:t>
      </w:r>
      <w:proofErr w:type="gramEnd"/>
      <w:r w:rsidRPr="00C01C50">
        <w:rPr>
          <w:rFonts w:ascii="標楷體" w:eastAsia="標楷體" w:hAnsi="標楷體" w:cs="標楷體"/>
          <w:color w:val="000000" w:themeColor="text1"/>
        </w:rPr>
        <w:t>商場時遭管理人員無理拒絕，並確保殘疾人士能於鄰近入口位置上落車。</w:t>
      </w:r>
    </w:p>
    <w:p w14:paraId="0ED39544" w14:textId="77777777" w:rsidR="00EB79C3" w:rsidRPr="00C01C50" w:rsidRDefault="00EB79C3">
      <w:pPr>
        <w:widowControl/>
        <w:rPr>
          <w:rFonts w:ascii="標楷體" w:eastAsia="標楷體" w:hAnsi="標楷體" w:cs="標楷體"/>
          <w:color w:val="000000" w:themeColor="text1"/>
          <w:u w:val="single"/>
        </w:rPr>
      </w:pPr>
    </w:p>
    <w:p w14:paraId="66120FE4" w14:textId="77777777" w:rsidR="00EB79C3" w:rsidRPr="00C01C50" w:rsidRDefault="00000000">
      <w:pPr>
        <w:widowControl/>
        <w:rPr>
          <w:rFonts w:ascii="標楷體" w:eastAsia="標楷體" w:hAnsi="標楷體" w:cs="標楷體"/>
          <w:color w:val="000000" w:themeColor="text1"/>
          <w:u w:val="single"/>
        </w:rPr>
      </w:pPr>
      <w:r w:rsidRPr="00C01C50">
        <w:rPr>
          <w:rFonts w:ascii="標楷體" w:eastAsia="標楷體" w:hAnsi="標楷體" w:cs="標楷體"/>
          <w:color w:val="000000" w:themeColor="text1"/>
          <w:u w:val="single"/>
        </w:rPr>
        <w:t xml:space="preserve">推動無障礙旅遊發展 </w:t>
      </w:r>
    </w:p>
    <w:p w14:paraId="5DF894E3" w14:textId="77777777" w:rsidR="00EB79C3" w:rsidRPr="00C01C50" w:rsidRDefault="00000000">
      <w:pPr>
        <w:widowControl/>
        <w:numPr>
          <w:ilvl w:val="0"/>
          <w:numId w:val="20"/>
        </w:numPr>
        <w:rPr>
          <w:rFonts w:ascii="標楷體" w:eastAsia="標楷體" w:hAnsi="標楷體" w:cs="標楷體"/>
          <w:color w:val="000000" w:themeColor="text1"/>
        </w:rPr>
      </w:pPr>
      <w:r w:rsidRPr="00C01C50">
        <w:rPr>
          <w:rFonts w:ascii="標楷體" w:eastAsia="標楷體" w:hAnsi="標楷體" w:cs="標楷體"/>
          <w:b/>
          <w:bCs/>
          <w:color w:val="000000" w:themeColor="text1"/>
        </w:rPr>
        <w:t>配合《香港旅遊業發展藍圖2.0》「拓展銀髮」方向</w:t>
      </w:r>
      <w:r w:rsidRPr="00C01C50">
        <w:rPr>
          <w:rFonts w:ascii="標楷體" w:eastAsia="標楷體" w:hAnsi="標楷體" w:cs="標楷體"/>
          <w:color w:val="000000" w:themeColor="text1"/>
        </w:rPr>
        <w:t>，全面提升旅遊景點的通達性，藉此吸納多元客源，帶動無障礙旅遊的可持續發展：</w:t>
      </w:r>
    </w:p>
    <w:p w14:paraId="2474BA5C" w14:textId="77777777" w:rsidR="00EB79C3" w:rsidRPr="00C01C50" w:rsidRDefault="00000000">
      <w:pPr>
        <w:widowControl/>
        <w:numPr>
          <w:ilvl w:val="0"/>
          <w:numId w:val="10"/>
        </w:numPr>
        <w:rPr>
          <w:rFonts w:ascii="標楷體" w:eastAsia="標楷體" w:hAnsi="標楷體" w:cs="標楷體"/>
          <w:color w:val="000000" w:themeColor="text1"/>
        </w:rPr>
      </w:pPr>
      <w:r w:rsidRPr="00C01C50">
        <w:rPr>
          <w:rFonts w:ascii="標楷體" w:eastAsia="標楷體" w:hAnsi="標楷體" w:cs="標楷體"/>
          <w:color w:val="000000" w:themeColor="text1"/>
        </w:rPr>
        <w:t>於檢討及修訂《設計手冊》時，</w:t>
      </w:r>
      <w:r w:rsidRPr="00C01C50">
        <w:rPr>
          <w:rFonts w:ascii="標楷體" w:eastAsia="標楷體" w:hAnsi="標楷體" w:cs="標楷體"/>
          <w:b/>
          <w:bCs/>
          <w:color w:val="000000" w:themeColor="text1"/>
        </w:rPr>
        <w:t>加強文體旅場所的無障礙規範</w:t>
      </w:r>
      <w:r w:rsidRPr="00C01C50">
        <w:rPr>
          <w:rFonts w:ascii="標楷體" w:eastAsia="標楷體" w:hAnsi="標楷體" w:cs="標楷體"/>
          <w:color w:val="000000" w:themeColor="text1"/>
        </w:rPr>
        <w:t>：</w:t>
      </w:r>
    </w:p>
    <w:p w14:paraId="2D1E127F" w14:textId="77777777" w:rsidR="00EB79C3" w:rsidRPr="00C01C50" w:rsidRDefault="00000000">
      <w:pPr>
        <w:widowControl/>
        <w:numPr>
          <w:ilvl w:val="1"/>
          <w:numId w:val="10"/>
        </w:numPr>
        <w:rPr>
          <w:rFonts w:ascii="標楷體" w:eastAsia="標楷體" w:hAnsi="標楷體" w:cs="標楷體"/>
          <w:color w:val="000000" w:themeColor="text1"/>
        </w:rPr>
      </w:pPr>
      <w:r w:rsidRPr="00C01C50">
        <w:rPr>
          <w:rFonts w:ascii="標楷體" w:eastAsia="標楷體" w:hAnsi="標楷體" w:cs="標楷體"/>
          <w:color w:val="000000" w:themeColor="text1"/>
        </w:rPr>
        <w:t>增設針對「文化、體育及旅遊設施」（如展覽廳、大型公園、游泳池，以及臨時搭建的大型公眾娛樂或表演場所）的專章；</w:t>
      </w:r>
    </w:p>
    <w:p w14:paraId="75B85904" w14:textId="77777777" w:rsidR="00EB79C3" w:rsidRPr="00C01C50" w:rsidRDefault="00000000">
      <w:pPr>
        <w:widowControl/>
        <w:numPr>
          <w:ilvl w:val="1"/>
          <w:numId w:val="10"/>
        </w:numPr>
        <w:rPr>
          <w:rFonts w:ascii="標楷體" w:eastAsia="標楷體" w:hAnsi="標楷體" w:cs="標楷體"/>
          <w:color w:val="000000" w:themeColor="text1"/>
        </w:rPr>
      </w:pPr>
      <w:r w:rsidRPr="00C01C50">
        <w:rPr>
          <w:rFonts w:ascii="標楷體" w:eastAsia="標楷體" w:hAnsi="標楷體" w:cs="標楷體"/>
          <w:color w:val="000000" w:themeColor="text1"/>
        </w:rPr>
        <w:t>提供更具針對性的無障礙設計指引，以切合文體旅場地特殊需求（如資訊展示高度、泳池區以及遊戲攤位的無障礙設計等）。同時改善輪椅座位的購票管道、文體旅從業人員培訓、網上資訊與行程規劃；</w:t>
      </w:r>
    </w:p>
    <w:p w14:paraId="3C3BE836" w14:textId="77777777" w:rsidR="00EB79C3" w:rsidRPr="00C01C50" w:rsidRDefault="00000000">
      <w:pPr>
        <w:widowControl/>
        <w:numPr>
          <w:ilvl w:val="1"/>
          <w:numId w:val="10"/>
        </w:numPr>
        <w:rPr>
          <w:rFonts w:ascii="標楷體" w:eastAsia="標楷體" w:hAnsi="標楷體" w:cs="標楷體"/>
          <w:color w:val="000000" w:themeColor="text1"/>
        </w:rPr>
      </w:pPr>
      <w:r w:rsidRPr="00C01C50">
        <w:rPr>
          <w:rFonts w:ascii="標楷體" w:eastAsia="標楷體" w:hAnsi="標楷體" w:cs="標楷體"/>
          <w:color w:val="000000" w:themeColor="text1"/>
        </w:rPr>
        <w:t>把修訂版內針對臨時活動或維修期間的無障礙安排，延伸涵蓋至所有臨時公眾大型娛樂或表演場所，並把相關無障礙安排（如提供替代設施資訊、避免於地面鋪設電線等）由建議性質提升為強制性條文；</w:t>
      </w:r>
    </w:p>
    <w:p w14:paraId="61483FE6" w14:textId="77777777" w:rsidR="00EB79C3" w:rsidRPr="00C01C50" w:rsidRDefault="00000000">
      <w:pPr>
        <w:widowControl/>
        <w:numPr>
          <w:ilvl w:val="0"/>
          <w:numId w:val="10"/>
        </w:numPr>
        <w:rPr>
          <w:rFonts w:ascii="標楷體" w:eastAsia="標楷體" w:hAnsi="標楷體" w:cs="標楷體"/>
          <w:b/>
          <w:bCs/>
          <w:color w:val="000000" w:themeColor="text1"/>
        </w:rPr>
      </w:pPr>
      <w:r w:rsidRPr="00C01C50">
        <w:rPr>
          <w:rFonts w:ascii="標楷體" w:eastAsia="標楷體" w:hAnsi="標楷體" w:cs="標楷體"/>
          <w:b/>
          <w:bCs/>
          <w:color w:val="000000" w:themeColor="text1"/>
        </w:rPr>
        <w:t>強化服務業軟件配套與「多元、平等與共融 (DEI)」培訓，</w:t>
      </w:r>
      <w:proofErr w:type="gramStart"/>
      <w:r w:rsidRPr="00C01C50">
        <w:rPr>
          <w:rFonts w:ascii="標楷體" w:eastAsia="標楷體" w:hAnsi="標楷體" w:cs="標楷體"/>
          <w:b/>
          <w:bCs/>
          <w:color w:val="000000" w:themeColor="text1"/>
        </w:rPr>
        <w:t>建構無障礙</w:t>
      </w:r>
      <w:proofErr w:type="gramEnd"/>
      <w:r w:rsidRPr="00C01C50">
        <w:rPr>
          <w:rFonts w:ascii="標楷體" w:eastAsia="標楷體" w:hAnsi="標楷體" w:cs="標楷體"/>
          <w:b/>
          <w:bCs/>
          <w:color w:val="000000" w:themeColor="text1"/>
        </w:rPr>
        <w:t>服務：</w:t>
      </w:r>
    </w:p>
    <w:p w14:paraId="2BC8440E" w14:textId="77777777" w:rsidR="00EB79C3" w:rsidRPr="00C01C50" w:rsidRDefault="00000000">
      <w:pPr>
        <w:widowControl/>
        <w:numPr>
          <w:ilvl w:val="1"/>
          <w:numId w:val="10"/>
        </w:numPr>
        <w:rPr>
          <w:rFonts w:ascii="標楷體" w:eastAsia="標楷體" w:hAnsi="標楷體" w:cs="標楷體"/>
          <w:color w:val="000000" w:themeColor="text1"/>
        </w:rPr>
      </w:pPr>
      <w:r w:rsidRPr="00C01C50">
        <w:rPr>
          <w:rFonts w:ascii="標楷體" w:eastAsia="標楷體" w:hAnsi="標楷體" w:cs="標楷體"/>
          <w:color w:val="000000" w:themeColor="text1"/>
        </w:rPr>
        <w:lastRenderedPageBreak/>
        <w:t>在香港五年規劃中，明確將“DEI”理念納入服務性行業（如旅遊、酒店、零售及餐飲業）的發展指標。鼓勵並資助企業為前線員工提供囊括「無障礙賓客服務」的入職與在職培訓內容，提升員工專業性；</w:t>
      </w:r>
    </w:p>
    <w:p w14:paraId="3CE79D56" w14:textId="77777777" w:rsidR="00EB79C3" w:rsidRPr="00C01C50" w:rsidRDefault="00000000">
      <w:pPr>
        <w:widowControl/>
        <w:numPr>
          <w:ilvl w:val="1"/>
          <w:numId w:val="10"/>
        </w:numPr>
        <w:rPr>
          <w:rFonts w:ascii="標楷體" w:eastAsia="標楷體" w:hAnsi="標楷體" w:cs="標楷體"/>
          <w:color w:val="000000" w:themeColor="text1"/>
        </w:rPr>
      </w:pPr>
      <w:r w:rsidRPr="00C01C50">
        <w:rPr>
          <w:rFonts w:ascii="標楷體" w:eastAsia="標楷體" w:hAnsi="標楷體" w:cs="標楷體"/>
          <w:color w:val="000000" w:themeColor="text1"/>
        </w:rPr>
        <w:t>延續金融管理局推動銀行業界落實《無障礙銀行服務實務指引》的做法，鼓勵其他行業的代表性組織（如香港酒店業協會等）牽頭，制定切合其行業實際操作的「無障礙服務指引」，讓業界有例</w:t>
      </w:r>
      <w:proofErr w:type="gramStart"/>
      <w:r w:rsidRPr="00C01C50">
        <w:rPr>
          <w:rFonts w:ascii="標楷體" w:eastAsia="標楷體" w:hAnsi="標楷體" w:cs="標楷體"/>
          <w:color w:val="000000" w:themeColor="text1"/>
        </w:rPr>
        <w:t>可循地改善</w:t>
      </w:r>
      <w:proofErr w:type="gramEnd"/>
      <w:r w:rsidRPr="00C01C50">
        <w:rPr>
          <w:rFonts w:ascii="標楷體" w:eastAsia="標楷體" w:hAnsi="標楷體" w:cs="標楷體"/>
          <w:color w:val="000000" w:themeColor="text1"/>
        </w:rPr>
        <w:t>服務；</w:t>
      </w:r>
    </w:p>
    <w:p w14:paraId="1C8BB453" w14:textId="77777777" w:rsidR="00EB79C3" w:rsidRPr="00C01C50" w:rsidRDefault="00000000">
      <w:pPr>
        <w:widowControl/>
        <w:numPr>
          <w:ilvl w:val="0"/>
          <w:numId w:val="10"/>
        </w:numPr>
        <w:rPr>
          <w:rFonts w:ascii="標楷體" w:eastAsia="標楷體" w:hAnsi="標楷體" w:cs="標楷體"/>
          <w:color w:val="000000" w:themeColor="text1"/>
        </w:rPr>
      </w:pPr>
      <w:proofErr w:type="gramStart"/>
      <w:r w:rsidRPr="00C01C50">
        <w:rPr>
          <w:rFonts w:ascii="標楷體" w:eastAsia="標楷體" w:hAnsi="標楷體" w:cs="標楷體"/>
          <w:color w:val="000000" w:themeColor="text1"/>
        </w:rPr>
        <w:t>建議旅發局</w:t>
      </w:r>
      <w:proofErr w:type="gramEnd"/>
      <w:r w:rsidRPr="00C01C50">
        <w:rPr>
          <w:rFonts w:ascii="標楷體" w:eastAsia="標楷體" w:hAnsi="標楷體" w:cs="標楷體"/>
          <w:color w:val="000000" w:themeColor="text1"/>
        </w:rPr>
        <w:t>聯同主要旅遊區，</w:t>
      </w:r>
      <w:proofErr w:type="gramStart"/>
      <w:r w:rsidRPr="00C01C50">
        <w:rPr>
          <w:rFonts w:ascii="標楷體" w:eastAsia="標楷體" w:hAnsi="標楷體" w:cs="標楷體"/>
          <w:b/>
          <w:bCs/>
          <w:color w:val="000000" w:themeColor="text1"/>
        </w:rPr>
        <w:t>於旅發局官網</w:t>
      </w:r>
      <w:proofErr w:type="gramEnd"/>
      <w:r w:rsidRPr="00C01C50">
        <w:rPr>
          <w:rFonts w:ascii="標楷體" w:eastAsia="標楷體" w:hAnsi="標楷體" w:cs="標楷體"/>
          <w:b/>
          <w:bCs/>
          <w:color w:val="000000" w:themeColor="text1"/>
        </w:rPr>
        <w:t>及“Discover Hong Kong”將推出的「實時旅遊地圖」及「人工智能行程規劃」中提供全面的無障礙資訊、交通建議及行程推薦</w:t>
      </w:r>
      <w:r w:rsidRPr="00C01C50">
        <w:rPr>
          <w:rFonts w:ascii="標楷體" w:eastAsia="標楷體" w:hAnsi="標楷體" w:cs="標楷體"/>
          <w:color w:val="000000" w:themeColor="text1"/>
        </w:rPr>
        <w:t>，為本地及訪港的殘疾人士及旅客打造無縫</w:t>
      </w:r>
      <w:proofErr w:type="gramStart"/>
      <w:r w:rsidRPr="00C01C50">
        <w:rPr>
          <w:rFonts w:ascii="標楷體" w:eastAsia="標楷體" w:hAnsi="標楷體" w:cs="標楷體"/>
          <w:color w:val="000000" w:themeColor="text1"/>
        </w:rPr>
        <w:t>的無障出行</w:t>
      </w:r>
      <w:proofErr w:type="gramEnd"/>
      <w:r w:rsidRPr="00C01C50">
        <w:rPr>
          <w:rFonts w:ascii="標楷體" w:eastAsia="標楷體" w:hAnsi="標楷體" w:cs="標楷體"/>
          <w:color w:val="000000" w:themeColor="text1"/>
        </w:rPr>
        <w:t>體驗；</w:t>
      </w:r>
    </w:p>
    <w:p w14:paraId="3691A3F4" w14:textId="77777777" w:rsidR="00EB79C3" w:rsidRPr="00C01C50" w:rsidRDefault="00000000">
      <w:pPr>
        <w:widowControl/>
        <w:numPr>
          <w:ilvl w:val="0"/>
          <w:numId w:val="10"/>
        </w:numPr>
        <w:rPr>
          <w:rFonts w:ascii="標楷體" w:eastAsia="標楷體" w:hAnsi="標楷體" w:cs="標楷體"/>
          <w:color w:val="000000" w:themeColor="text1"/>
        </w:rPr>
      </w:pPr>
      <w:r w:rsidRPr="00C01C50">
        <w:rPr>
          <w:rFonts w:ascii="標楷體" w:eastAsia="標楷體" w:hAnsi="標楷體" w:cs="標楷體"/>
          <w:color w:val="000000" w:themeColor="text1"/>
        </w:rPr>
        <w:t>建議政府</w:t>
      </w:r>
      <w:r w:rsidRPr="00C01C50">
        <w:rPr>
          <w:rFonts w:ascii="標楷體" w:eastAsia="標楷體" w:hAnsi="標楷體" w:cs="標楷體"/>
          <w:b/>
          <w:bCs/>
          <w:color w:val="000000" w:themeColor="text1"/>
        </w:rPr>
        <w:t>發展旅遊業（如生態旅遊及海上交通）時，與旅遊業界協作。結合「無障礙</w:t>
      </w:r>
      <w:proofErr w:type="gramStart"/>
      <w:r w:rsidRPr="00C01C50">
        <w:rPr>
          <w:rFonts w:ascii="標楷體" w:eastAsia="標楷體" w:hAnsi="標楷體" w:cs="標楷體"/>
          <w:b/>
          <w:bCs/>
          <w:color w:val="000000" w:themeColor="text1"/>
        </w:rPr>
        <w:t>旅運鏈</w:t>
      </w:r>
      <w:proofErr w:type="gramEnd"/>
      <w:r w:rsidRPr="00C01C50">
        <w:rPr>
          <w:rFonts w:ascii="標楷體" w:eastAsia="標楷體" w:hAnsi="標楷體" w:cs="標楷體"/>
          <w:b/>
          <w:bCs/>
          <w:color w:val="000000" w:themeColor="text1"/>
        </w:rPr>
        <w:t>」與「通用設計」理念，全面評估及</w:t>
      </w:r>
      <w:proofErr w:type="gramStart"/>
      <w:r w:rsidRPr="00C01C50">
        <w:rPr>
          <w:rFonts w:ascii="標楷體" w:eastAsia="標楷體" w:hAnsi="標楷體" w:cs="標楷體"/>
          <w:b/>
          <w:bCs/>
          <w:color w:val="000000" w:themeColor="text1"/>
        </w:rPr>
        <w:t>完善景</w:t>
      </w:r>
      <w:proofErr w:type="gramEnd"/>
      <w:r w:rsidRPr="00C01C50">
        <w:rPr>
          <w:rFonts w:ascii="標楷體" w:eastAsia="標楷體" w:hAnsi="標楷體" w:cs="標楷體"/>
          <w:b/>
          <w:bCs/>
          <w:color w:val="000000" w:themeColor="text1"/>
        </w:rPr>
        <w:t>點自身及周邊配套的易達性</w:t>
      </w:r>
      <w:r w:rsidRPr="00C01C50">
        <w:rPr>
          <w:rFonts w:ascii="標楷體" w:eastAsia="標楷體" w:hAnsi="標楷體" w:cs="標楷體"/>
          <w:color w:val="000000" w:themeColor="text1"/>
        </w:rPr>
        <w:t>，打造共融旅遊環境。避免出現郊遊徑的公交通接駁不完善或坡道</w:t>
      </w:r>
      <w:proofErr w:type="gramStart"/>
      <w:r w:rsidRPr="00C01C50">
        <w:rPr>
          <w:rFonts w:ascii="標楷體" w:eastAsia="標楷體" w:hAnsi="標楷體" w:cs="標楷體"/>
          <w:color w:val="000000" w:themeColor="text1"/>
        </w:rPr>
        <w:t>過斜、</w:t>
      </w:r>
      <w:proofErr w:type="gramEnd"/>
      <w:r w:rsidRPr="00C01C50">
        <w:rPr>
          <w:rFonts w:ascii="標楷體" w:eastAsia="標楷體" w:hAnsi="標楷體" w:cs="標楷體"/>
          <w:color w:val="000000" w:themeColor="text1"/>
        </w:rPr>
        <w:t>目的地碼頭無法下船等「無障礙</w:t>
      </w:r>
      <w:proofErr w:type="gramStart"/>
      <w:r w:rsidRPr="00C01C50">
        <w:rPr>
          <w:rFonts w:ascii="標楷體" w:eastAsia="標楷體" w:hAnsi="標楷體" w:cs="標楷體"/>
          <w:color w:val="000000" w:themeColor="text1"/>
        </w:rPr>
        <w:t>旅運鏈</w:t>
      </w:r>
      <w:proofErr w:type="gramEnd"/>
      <w:r w:rsidRPr="00C01C50">
        <w:rPr>
          <w:rFonts w:ascii="標楷體" w:eastAsia="標楷體" w:hAnsi="標楷體" w:cs="標楷體"/>
          <w:color w:val="000000" w:themeColor="text1"/>
        </w:rPr>
        <w:t>」斷裂情況；</w:t>
      </w:r>
    </w:p>
    <w:p w14:paraId="0C4B8C47" w14:textId="77777777" w:rsidR="00EB79C3" w:rsidRPr="00C01C50" w:rsidRDefault="00000000">
      <w:pPr>
        <w:widowControl/>
        <w:numPr>
          <w:ilvl w:val="0"/>
          <w:numId w:val="10"/>
        </w:numPr>
        <w:rPr>
          <w:rFonts w:ascii="標楷體" w:eastAsia="標楷體" w:hAnsi="標楷體" w:cs="標楷體"/>
          <w:color w:val="000000" w:themeColor="text1"/>
        </w:rPr>
      </w:pPr>
      <w:r w:rsidRPr="00C01C50">
        <w:rPr>
          <w:rFonts w:ascii="標楷體" w:eastAsia="標楷體" w:hAnsi="標楷體" w:cs="標楷體"/>
          <w:color w:val="000000" w:themeColor="text1"/>
        </w:rPr>
        <w:t>建議</w:t>
      </w:r>
      <w:r w:rsidRPr="00C01C50">
        <w:rPr>
          <w:rFonts w:ascii="標楷體" w:eastAsia="標楷體" w:hAnsi="標楷體" w:cs="標楷體"/>
          <w:b/>
          <w:bCs/>
          <w:color w:val="000000" w:themeColor="text1"/>
        </w:rPr>
        <w:t>全面巡查並檢視酒店等住宿場所的無障礙環境與設施</w:t>
      </w:r>
      <w:r w:rsidRPr="00C01C50">
        <w:rPr>
          <w:rFonts w:ascii="標楷體" w:eastAsia="標楷體" w:hAnsi="標楷體" w:cs="標楷體"/>
          <w:color w:val="000000" w:themeColor="text1"/>
        </w:rPr>
        <w:t>（如客房出入口及浴室設計），針對暢通易達程度欠佳或違反《設計手冊》規定的酒店，要求其落實改善措施，以確保行動不便及年長旅客能平等、安全地享用住宿服務。</w:t>
      </w:r>
    </w:p>
    <w:p w14:paraId="495141F4" w14:textId="77777777" w:rsidR="00EB79C3" w:rsidRPr="00C01C50" w:rsidRDefault="00EB79C3">
      <w:pPr>
        <w:widowControl/>
        <w:rPr>
          <w:rFonts w:ascii="標楷體" w:eastAsia="標楷體" w:hAnsi="標楷體" w:cs="標楷體"/>
          <w:color w:val="000000" w:themeColor="text1"/>
        </w:rPr>
      </w:pPr>
    </w:p>
    <w:p w14:paraId="4D5C1664" w14:textId="77777777" w:rsidR="00EB79C3" w:rsidRPr="00C01C50" w:rsidRDefault="00000000">
      <w:pPr>
        <w:widowControl/>
        <w:rPr>
          <w:rFonts w:ascii="標楷體" w:eastAsia="標楷體" w:hAnsi="標楷體" w:cs="標楷體"/>
          <w:color w:val="000000" w:themeColor="text1"/>
          <w:u w:val="single"/>
        </w:rPr>
      </w:pPr>
      <w:r w:rsidRPr="00C01C50">
        <w:rPr>
          <w:rFonts w:ascii="標楷體" w:eastAsia="標楷體" w:hAnsi="標楷體" w:cs="標楷體"/>
          <w:color w:val="000000" w:themeColor="text1"/>
          <w:u w:val="single"/>
        </w:rPr>
        <w:t xml:space="preserve">推動無障礙智慧城市及智慧出行 </w:t>
      </w:r>
    </w:p>
    <w:p w14:paraId="60D3D19E" w14:textId="77777777" w:rsidR="00EB79C3" w:rsidRPr="00C01C50" w:rsidRDefault="00000000">
      <w:pPr>
        <w:widowControl/>
        <w:numPr>
          <w:ilvl w:val="0"/>
          <w:numId w:val="20"/>
        </w:numPr>
        <w:rPr>
          <w:rFonts w:ascii="標楷體" w:eastAsia="標楷體" w:hAnsi="標楷體" w:cs="標楷體"/>
          <w:color w:val="000000" w:themeColor="text1"/>
        </w:rPr>
      </w:pPr>
      <w:r w:rsidRPr="00C01C50">
        <w:rPr>
          <w:rFonts w:ascii="標楷體" w:eastAsia="標楷體" w:hAnsi="標楷體" w:cs="標楷體"/>
          <w:b/>
          <w:bCs/>
          <w:color w:val="000000" w:themeColor="text1"/>
        </w:rPr>
        <w:t>於智慧城市建設及新科技產品開發、公共採購、審批「創新及科技基金」等資助時，將「通用設計」列為審查及考慮指標</w:t>
      </w:r>
      <w:r w:rsidRPr="00C01C50">
        <w:rPr>
          <w:rFonts w:ascii="標楷體" w:eastAsia="標楷體" w:hAnsi="標楷體" w:cs="標楷體"/>
          <w:color w:val="000000" w:themeColor="text1"/>
        </w:rPr>
        <w:t>，確保在設計階段已考慮殘疾人士的需要，並加強無線網絡及充電裝置的覆蓋，以確保殘疾人士能使用智慧城市設施。</w:t>
      </w:r>
    </w:p>
    <w:p w14:paraId="391D8BB1" w14:textId="77777777" w:rsidR="00EB79C3" w:rsidRPr="00C01C50" w:rsidRDefault="00EB79C3">
      <w:pPr>
        <w:widowControl/>
        <w:ind w:left="480"/>
        <w:rPr>
          <w:rFonts w:ascii="標楷體" w:eastAsia="標楷體" w:hAnsi="標楷體" w:cs="標楷體"/>
          <w:color w:val="000000" w:themeColor="text1"/>
        </w:rPr>
      </w:pPr>
    </w:p>
    <w:p w14:paraId="3D84D15A" w14:textId="77777777" w:rsidR="00EB79C3" w:rsidRPr="00C01C50" w:rsidRDefault="00000000">
      <w:pPr>
        <w:widowControl/>
        <w:numPr>
          <w:ilvl w:val="0"/>
          <w:numId w:val="20"/>
        </w:numPr>
        <w:rPr>
          <w:rFonts w:ascii="標楷體" w:eastAsia="標楷體" w:hAnsi="標楷體" w:cs="標楷體"/>
          <w:color w:val="000000" w:themeColor="text1"/>
        </w:rPr>
      </w:pPr>
      <w:r w:rsidRPr="00C01C50">
        <w:rPr>
          <w:rFonts w:ascii="標楷體" w:eastAsia="標楷體" w:hAnsi="標楷體" w:cs="標楷體"/>
          <w:color w:val="000000" w:themeColor="text1"/>
        </w:rPr>
        <w:t>為改善目前各類數據庫與資訊平台過於分散，未能切合殘疾人士出行需求的情況，採取以下具體措施以</w:t>
      </w:r>
      <w:r w:rsidRPr="00C01C50">
        <w:rPr>
          <w:rFonts w:ascii="標楷體" w:eastAsia="標楷體" w:hAnsi="標楷體" w:cs="標楷體"/>
          <w:b/>
          <w:bCs/>
          <w:color w:val="000000" w:themeColor="text1"/>
        </w:rPr>
        <w:t>推動社會共融與無障礙智慧出行</w:t>
      </w:r>
      <w:proofErr w:type="gramStart"/>
      <w:r w:rsidRPr="00C01C50">
        <w:rPr>
          <w:rFonts w:ascii="標楷體" w:eastAsia="標楷體" w:hAnsi="標楷體" w:cs="標楷體"/>
          <w:color w:val="000000" w:themeColor="text1"/>
        </w:rPr>
        <w:t>︰</w:t>
      </w:r>
      <w:proofErr w:type="gramEnd"/>
    </w:p>
    <w:p w14:paraId="2B60518C" w14:textId="77777777" w:rsidR="00EB79C3" w:rsidRPr="00C01C50" w:rsidRDefault="00000000">
      <w:pPr>
        <w:widowControl/>
        <w:numPr>
          <w:ilvl w:val="1"/>
          <w:numId w:val="20"/>
        </w:numPr>
        <w:rPr>
          <w:rFonts w:ascii="標楷體" w:eastAsia="標楷體" w:hAnsi="標楷體" w:cs="標楷體"/>
          <w:color w:val="000000" w:themeColor="text1"/>
        </w:rPr>
      </w:pPr>
      <w:r w:rsidRPr="00C01C50">
        <w:rPr>
          <w:rFonts w:ascii="標楷體" w:eastAsia="標楷體" w:hAnsi="標楷體" w:cs="標楷體"/>
          <w:color w:val="000000" w:themeColor="text1"/>
        </w:rPr>
        <w:t>由政府牽頭各政府部門、非牟利機構、自助組織等</w:t>
      </w:r>
      <w:proofErr w:type="gramStart"/>
      <w:r w:rsidRPr="00C01C50">
        <w:rPr>
          <w:rFonts w:ascii="標楷體" w:eastAsia="標楷體" w:hAnsi="標楷體" w:cs="標楷體"/>
          <w:color w:val="000000" w:themeColor="text1"/>
        </w:rPr>
        <w:t>持份者</w:t>
      </w:r>
      <w:proofErr w:type="gramEnd"/>
      <w:r w:rsidRPr="00C01C50">
        <w:rPr>
          <w:rFonts w:ascii="標楷體" w:eastAsia="標楷體" w:hAnsi="標楷體" w:cs="標楷體"/>
          <w:color w:val="000000" w:themeColor="text1"/>
        </w:rPr>
        <w:t>，統整全港的無障礙設施資訊，並在「香港出行易」等既有平台基礎上，研究增設開放介面（Open API）及使用者回饋機制，讓使用者與機構可持續報告設施現況，建構可定期更新的無障礙設施數據庫。其後，在上述數據庫基礎上開發一</w:t>
      </w:r>
      <w:proofErr w:type="gramStart"/>
      <w:r w:rsidRPr="00C01C50">
        <w:rPr>
          <w:rFonts w:ascii="標楷體" w:eastAsia="標楷體" w:hAnsi="標楷體" w:cs="標楷體"/>
          <w:color w:val="000000" w:themeColor="text1"/>
        </w:rPr>
        <w:t>站式且易</w:t>
      </w:r>
      <w:proofErr w:type="gramEnd"/>
      <w:r w:rsidRPr="00C01C50">
        <w:rPr>
          <w:rFonts w:ascii="標楷體" w:eastAsia="標楷體" w:hAnsi="標楷體" w:cs="標楷體"/>
          <w:color w:val="000000" w:themeColor="text1"/>
        </w:rPr>
        <w:t>用的智慧出行服務模組，以提升殘疾人士獲取出行資訊的便利度；</w:t>
      </w:r>
    </w:p>
    <w:p w14:paraId="29253842" w14:textId="77777777" w:rsidR="00EB79C3" w:rsidRPr="00C01C50" w:rsidRDefault="00000000">
      <w:pPr>
        <w:widowControl/>
        <w:numPr>
          <w:ilvl w:val="1"/>
          <w:numId w:val="20"/>
        </w:numPr>
        <w:rPr>
          <w:rFonts w:ascii="標楷體" w:eastAsia="標楷體" w:hAnsi="標楷體" w:cs="標楷體"/>
          <w:color w:val="000000" w:themeColor="text1"/>
        </w:rPr>
      </w:pPr>
      <w:r w:rsidRPr="00C01C50">
        <w:rPr>
          <w:rFonts w:ascii="標楷體" w:eastAsia="標楷體" w:hAnsi="標楷體" w:cs="標楷體"/>
          <w:color w:val="000000" w:themeColor="text1"/>
        </w:rPr>
        <w:t>參考新加坡「OneMap」模式，開展地區試點，運用地理空間人工智能並結合公共交通數據，為輪椅使用者及旅客精</w:t>
      </w:r>
      <w:proofErr w:type="gramStart"/>
      <w:r w:rsidRPr="00C01C50">
        <w:rPr>
          <w:rFonts w:ascii="標楷體" w:eastAsia="標楷體" w:hAnsi="標楷體" w:cs="標楷體"/>
          <w:color w:val="000000" w:themeColor="text1"/>
        </w:rPr>
        <w:t>準</w:t>
      </w:r>
      <w:proofErr w:type="gramEnd"/>
      <w:r w:rsidRPr="00C01C50">
        <w:rPr>
          <w:rFonts w:ascii="標楷體" w:eastAsia="標楷體" w:hAnsi="標楷體" w:cs="標楷體"/>
          <w:color w:val="000000" w:themeColor="text1"/>
        </w:rPr>
        <w:t>規劃無障礙路線；同時與復康團隊合作進行實地測試及收集回饋，持續優化導航準確。</w:t>
      </w:r>
    </w:p>
    <w:p w14:paraId="13EC11FF" w14:textId="77777777" w:rsidR="00EB79C3" w:rsidRPr="00C01C50" w:rsidRDefault="00EB79C3">
      <w:pPr>
        <w:widowControl/>
        <w:rPr>
          <w:rFonts w:ascii="標楷體" w:eastAsia="標楷體" w:hAnsi="標楷體" w:cs="標楷體"/>
          <w:color w:val="000000" w:themeColor="text1"/>
        </w:rPr>
      </w:pPr>
    </w:p>
    <w:p w14:paraId="627B2B31" w14:textId="77777777" w:rsidR="00EB79C3" w:rsidRPr="00C01C50" w:rsidRDefault="00000000">
      <w:pPr>
        <w:widowControl/>
        <w:rPr>
          <w:rFonts w:ascii="標楷體" w:eastAsia="標楷體" w:hAnsi="標楷體" w:cs="標楷體"/>
          <w:color w:val="000000" w:themeColor="text1"/>
          <w:u w:val="single"/>
        </w:rPr>
      </w:pPr>
      <w:r w:rsidRPr="00C01C50">
        <w:rPr>
          <w:rFonts w:ascii="標楷體" w:eastAsia="標楷體" w:hAnsi="標楷體" w:cs="標楷體"/>
          <w:color w:val="000000" w:themeColor="text1"/>
          <w:u w:val="single"/>
        </w:rPr>
        <w:t>完善無障礙醫療環境 與 防災應變機制</w:t>
      </w:r>
    </w:p>
    <w:p w14:paraId="2A34E28D" w14:textId="77777777" w:rsidR="00EB79C3" w:rsidRPr="00C01C50" w:rsidRDefault="00000000">
      <w:pPr>
        <w:widowControl/>
        <w:numPr>
          <w:ilvl w:val="0"/>
          <w:numId w:val="20"/>
        </w:numPr>
        <w:rPr>
          <w:rFonts w:ascii="標楷體" w:eastAsia="標楷體" w:hAnsi="標楷體" w:cs="標楷體"/>
          <w:color w:val="000000" w:themeColor="text1"/>
        </w:rPr>
      </w:pPr>
      <w:r w:rsidRPr="00C01C50">
        <w:rPr>
          <w:rFonts w:ascii="標楷體" w:eastAsia="標楷體" w:hAnsi="標楷體" w:cs="標楷體"/>
          <w:color w:val="000000" w:themeColor="text1"/>
        </w:rPr>
        <w:t>在現正修訂的《設計手冊》中，</w:t>
      </w:r>
      <w:r w:rsidRPr="00C01C50">
        <w:rPr>
          <w:rFonts w:ascii="標楷體" w:eastAsia="標楷體" w:hAnsi="標楷體" w:cs="標楷體"/>
          <w:b/>
          <w:bCs/>
          <w:color w:val="000000" w:themeColor="text1"/>
        </w:rPr>
        <w:t>研究增設涵蓋醫療設施與環境（如醫院及中西醫診所）無障礙設計的專屬章節及條文</w:t>
      </w:r>
      <w:r w:rsidRPr="00C01C50">
        <w:rPr>
          <w:rFonts w:ascii="標楷體" w:eastAsia="標楷體" w:hAnsi="標楷體" w:cs="標楷體"/>
          <w:color w:val="000000" w:themeColor="text1"/>
        </w:rPr>
        <w:t>，以保障殘疾人士平等獲取醫療服務的權利。同時推廣並資助醫療機構引入無障礙醫療設備。</w:t>
      </w:r>
    </w:p>
    <w:p w14:paraId="49E3F657" w14:textId="77777777" w:rsidR="00EB79C3" w:rsidRPr="00C01C50" w:rsidRDefault="00EB79C3">
      <w:pPr>
        <w:widowControl/>
        <w:rPr>
          <w:rFonts w:ascii="標楷體" w:eastAsia="標楷體" w:hAnsi="標楷體" w:cs="標楷體"/>
          <w:color w:val="000000" w:themeColor="text1"/>
        </w:rPr>
      </w:pPr>
    </w:p>
    <w:p w14:paraId="496E4D82" w14:textId="77777777" w:rsidR="00EB79C3" w:rsidRPr="00C01C50" w:rsidRDefault="00000000">
      <w:pPr>
        <w:widowControl/>
        <w:numPr>
          <w:ilvl w:val="0"/>
          <w:numId w:val="20"/>
        </w:numPr>
        <w:rPr>
          <w:rFonts w:ascii="標楷體" w:eastAsia="標楷體" w:hAnsi="標楷體" w:cs="標楷體"/>
          <w:color w:val="000000" w:themeColor="text1"/>
        </w:rPr>
        <w:sectPr w:rsidR="00EB79C3" w:rsidRPr="00C01C50">
          <w:pgSz w:w="11906" w:h="16838"/>
          <w:pgMar w:top="1440" w:right="1440" w:bottom="1440" w:left="1440" w:header="851" w:footer="992" w:gutter="0"/>
          <w:cols w:space="720"/>
        </w:sectPr>
      </w:pPr>
      <w:r w:rsidRPr="00C01C50">
        <w:rPr>
          <w:rFonts w:ascii="標楷體" w:eastAsia="標楷體" w:hAnsi="標楷體" w:cs="標楷體"/>
          <w:color w:val="000000" w:themeColor="text1"/>
        </w:rPr>
        <w:t>針對極端天氣及火災等突發緊急事故，研究並制定切合殘疾人士需要的專屬防災指引與應急預案，確保他們在緊急情況下能獲得充分的保護與適切的支援。</w:t>
      </w:r>
    </w:p>
    <w:p w14:paraId="27A04F44" w14:textId="77777777" w:rsidR="00EB79C3" w:rsidRPr="00C01C50" w:rsidRDefault="00000000">
      <w:pPr>
        <w:widowControl/>
        <w:jc w:val="center"/>
        <w:rPr>
          <w:rFonts w:ascii="標楷體" w:eastAsia="標楷體" w:hAnsi="標楷體" w:cs="標楷體"/>
          <w:b/>
          <w:bCs/>
          <w:color w:val="000000" w:themeColor="text1"/>
        </w:rPr>
      </w:pPr>
      <w:r w:rsidRPr="00C01C50">
        <w:rPr>
          <w:rFonts w:ascii="標楷體" w:eastAsia="標楷體" w:hAnsi="標楷體" w:cs="標楷體"/>
          <w:b/>
          <w:bCs/>
          <w:color w:val="000000" w:themeColor="text1"/>
        </w:rPr>
        <w:lastRenderedPageBreak/>
        <w:t>（2）無障礙運輸政策</w:t>
      </w:r>
    </w:p>
    <w:p w14:paraId="4C0DB1C7" w14:textId="77777777" w:rsidR="00EB79C3" w:rsidRPr="00C01C50" w:rsidRDefault="00EB79C3">
      <w:pPr>
        <w:widowControl/>
        <w:jc w:val="center"/>
        <w:rPr>
          <w:rFonts w:ascii="標楷體" w:eastAsia="標楷體" w:hAnsi="標楷體" w:cs="標楷體"/>
          <w:b/>
          <w:bCs/>
          <w:color w:val="000000" w:themeColor="text1"/>
        </w:rPr>
      </w:pPr>
    </w:p>
    <w:p w14:paraId="446A0379" w14:textId="77777777" w:rsidR="00EB79C3" w:rsidRPr="00C01C50" w:rsidRDefault="00000000">
      <w:pPr>
        <w:widowControl/>
        <w:ind w:firstLine="496"/>
        <w:jc w:val="both"/>
        <w:rPr>
          <w:rFonts w:ascii="標楷體" w:eastAsia="標楷體" w:hAnsi="標楷體" w:cs="標楷體"/>
          <w:color w:val="000000" w:themeColor="text1"/>
        </w:rPr>
      </w:pPr>
      <w:r w:rsidRPr="00C01C50">
        <w:rPr>
          <w:rFonts w:ascii="標楷體" w:eastAsia="標楷體" w:hAnsi="標楷體" w:cs="標楷體"/>
          <w:color w:val="000000" w:themeColor="text1"/>
        </w:rPr>
        <w:t>特區政府於2026年初公布《運輸策略藍圖》（下稱《藍圖》）及《交通習慣調查研究報告（2025年版本）》，提出三大主題及六大策略，以實現「以人為本、強化內</w:t>
      </w:r>
      <w:proofErr w:type="gramStart"/>
      <w:r w:rsidRPr="00C01C50">
        <w:rPr>
          <w:rFonts w:ascii="標楷體" w:eastAsia="標楷體" w:hAnsi="標楷體" w:cs="標楷體"/>
          <w:color w:val="000000" w:themeColor="text1"/>
        </w:rPr>
        <w:t>聯外通</w:t>
      </w:r>
      <w:proofErr w:type="gramEnd"/>
      <w:r w:rsidRPr="00C01C50">
        <w:rPr>
          <w:rFonts w:ascii="標楷體" w:eastAsia="標楷體" w:hAnsi="標楷體" w:cs="標楷體"/>
          <w:color w:val="000000" w:themeColor="text1"/>
        </w:rPr>
        <w:t>、促進高效出行、邁向綠色生活」的願景。其中，《藍圖》提出「持續探討於不同公共交通服務提升長者友善及無障礙設施」，並強調強化區內（包括現有各區及北部都會區）及跨境交通連</w:t>
      </w:r>
      <w:proofErr w:type="gramStart"/>
      <w:r w:rsidRPr="00C01C50">
        <w:rPr>
          <w:rFonts w:ascii="標楷體" w:eastAsia="標楷體" w:hAnsi="標楷體" w:cs="標楷體"/>
          <w:color w:val="000000" w:themeColor="text1"/>
        </w:rPr>
        <w:t>繫</w:t>
      </w:r>
      <w:proofErr w:type="gramEnd"/>
      <w:r w:rsidRPr="00C01C50">
        <w:rPr>
          <w:rFonts w:ascii="標楷體" w:eastAsia="標楷體" w:hAnsi="標楷體" w:cs="標楷體"/>
          <w:color w:val="000000" w:themeColor="text1"/>
        </w:rPr>
        <w:t>；另一方面，國務院殘疾人工作委員會於《殘疾人保障和發展“十五五”規劃》中明確表示將加大交通運輸基礎設施的無障礙建設及改造力度，並加快推廣低地台及低入口公共交通工具，反映無障礙公共交通已成為國家及區域發展的重要發展方向之</w:t>
      </w:r>
      <w:proofErr w:type="gramStart"/>
      <w:r w:rsidRPr="00C01C50">
        <w:rPr>
          <w:rFonts w:ascii="標楷體" w:eastAsia="標楷體" w:hAnsi="標楷體" w:cs="標楷體"/>
          <w:color w:val="000000" w:themeColor="text1"/>
        </w:rPr>
        <w:t>一</w:t>
      </w:r>
      <w:proofErr w:type="gramEnd"/>
      <w:r w:rsidRPr="00C01C50">
        <w:rPr>
          <w:rFonts w:ascii="標楷體" w:eastAsia="標楷體" w:hAnsi="標楷體" w:cs="標楷體"/>
          <w:color w:val="000000" w:themeColor="text1"/>
        </w:rPr>
        <w:t>。本會支持上述整體方向，然而，過去二十年，本港「必須或有時使用輪椅的人士」數目由2000年的約3萬人增至2019年的約13萬人，推算年均增長約8%，但公共交通無障礙設施供應增加遠未能同步擴展。</w:t>
      </w:r>
    </w:p>
    <w:p w14:paraId="32140D2D" w14:textId="77777777" w:rsidR="00EB79C3" w:rsidRPr="00C01C50" w:rsidRDefault="00EB79C3">
      <w:pPr>
        <w:widowControl/>
        <w:jc w:val="both"/>
        <w:rPr>
          <w:rFonts w:ascii="標楷體" w:eastAsia="標楷體" w:hAnsi="標楷體" w:cs="標楷體"/>
          <w:color w:val="000000" w:themeColor="text1"/>
        </w:rPr>
      </w:pPr>
    </w:p>
    <w:p w14:paraId="464A577B" w14:textId="77777777" w:rsidR="00EB79C3" w:rsidRPr="00C01C50" w:rsidRDefault="00000000">
      <w:pPr>
        <w:widowControl/>
        <w:ind w:firstLine="566"/>
        <w:jc w:val="both"/>
        <w:rPr>
          <w:rFonts w:ascii="標楷體" w:eastAsia="標楷體" w:hAnsi="標楷體" w:cs="標楷體"/>
          <w:color w:val="000000" w:themeColor="text1"/>
        </w:rPr>
      </w:pPr>
      <w:r w:rsidRPr="00C01C50">
        <w:rPr>
          <w:rFonts w:ascii="標楷體" w:eastAsia="標楷體" w:hAnsi="標楷體" w:cs="標楷體"/>
          <w:color w:val="000000" w:themeColor="text1"/>
        </w:rPr>
        <w:t>小巴方面，低地台無障礙車型選擇</w:t>
      </w:r>
      <w:proofErr w:type="gramStart"/>
      <w:r w:rsidRPr="00C01C50">
        <w:rPr>
          <w:rFonts w:ascii="標楷體" w:eastAsia="標楷體" w:hAnsi="標楷體" w:cs="標楷體"/>
          <w:color w:val="000000" w:themeColor="text1"/>
        </w:rPr>
        <w:t>有限且報稱</w:t>
      </w:r>
      <w:proofErr w:type="gramEnd"/>
      <w:r w:rsidRPr="00C01C50">
        <w:rPr>
          <w:rFonts w:ascii="標楷體" w:eastAsia="標楷體" w:hAnsi="標楷體" w:cs="標楷體"/>
          <w:color w:val="000000" w:themeColor="text1"/>
        </w:rPr>
        <w:t>維修穩定性不足，多年來未見改善。的士方面，雖然無障礙的士數量於過去10年有上升，但仍僅</w:t>
      </w:r>
      <w:proofErr w:type="gramStart"/>
      <w:r w:rsidRPr="00C01C50">
        <w:rPr>
          <w:rFonts w:ascii="標楷體" w:eastAsia="標楷體" w:hAnsi="標楷體" w:cs="標楷體"/>
          <w:color w:val="000000" w:themeColor="text1"/>
        </w:rPr>
        <w:t>佔</w:t>
      </w:r>
      <w:proofErr w:type="gramEnd"/>
      <w:r w:rsidRPr="00C01C50">
        <w:rPr>
          <w:rFonts w:ascii="標楷體" w:eastAsia="標楷體" w:hAnsi="標楷體" w:cs="標楷體"/>
          <w:color w:val="000000" w:themeColor="text1"/>
        </w:rPr>
        <w:t>整體的士約三成。而近年推出的的士車隊原本是引入更多無障礙車輛的契機，惟最終僅提供300輛為無障礙車型</w:t>
      </w:r>
      <w:r w:rsidRPr="00C01C50">
        <w:rPr>
          <w:rFonts w:ascii="標楷體" w:eastAsia="標楷體" w:hAnsi="標楷體" w:cs="標楷體"/>
          <w:color w:val="000000" w:themeColor="text1"/>
          <w:vertAlign w:val="superscript"/>
        </w:rPr>
        <w:footnoteReference w:id="2"/>
      </w:r>
      <w:r w:rsidRPr="00C01C50">
        <w:rPr>
          <w:rFonts w:ascii="標楷體" w:eastAsia="標楷體" w:hAnsi="標楷體" w:cs="標楷體"/>
          <w:color w:val="000000" w:themeColor="text1"/>
        </w:rPr>
        <w:t>，且出現收取比120港元更高昂的預約費，顯示制度設計未有把握拓展無障礙供應的機遇，且嚴重影響服務的可負擔性。專營巴士方面，截至2025年，全港有雙輪椅停泊位的巴士市場</w:t>
      </w:r>
      <w:proofErr w:type="gramStart"/>
      <w:r w:rsidRPr="00C01C50">
        <w:rPr>
          <w:rFonts w:ascii="標楷體" w:eastAsia="標楷體" w:hAnsi="標楷體" w:cs="標楷體"/>
          <w:color w:val="000000" w:themeColor="text1"/>
        </w:rPr>
        <w:t>佔</w:t>
      </w:r>
      <w:proofErr w:type="gramEnd"/>
      <w:r w:rsidRPr="00C01C50">
        <w:rPr>
          <w:rFonts w:ascii="標楷體" w:eastAsia="標楷體" w:hAnsi="標楷體" w:cs="標楷體"/>
          <w:color w:val="000000" w:themeColor="text1"/>
        </w:rPr>
        <w:t>比僅7.9%，車輛更新主要依賴自然淘汰機制，而專營巴士一般須達18年</w:t>
      </w:r>
      <w:proofErr w:type="gramStart"/>
      <w:r w:rsidRPr="00C01C50">
        <w:rPr>
          <w:rFonts w:ascii="標楷體" w:eastAsia="標楷體" w:hAnsi="標楷體" w:cs="標楷體"/>
          <w:color w:val="000000" w:themeColor="text1"/>
        </w:rPr>
        <w:t>車齡方會</w:t>
      </w:r>
      <w:proofErr w:type="gramEnd"/>
      <w:r w:rsidRPr="00C01C50">
        <w:rPr>
          <w:rFonts w:ascii="標楷體" w:eastAsia="標楷體" w:hAnsi="標楷體" w:cs="標楷體"/>
          <w:color w:val="000000" w:themeColor="text1"/>
        </w:rPr>
        <w:t>退役。按現時車齡分佈推算，未來五年每年僅約200輛巴士完成更替</w:t>
      </w:r>
      <w:r w:rsidRPr="00C01C50">
        <w:rPr>
          <w:rFonts w:ascii="標楷體" w:eastAsia="標楷體" w:hAnsi="標楷體" w:cs="標楷體"/>
          <w:color w:val="000000" w:themeColor="text1"/>
          <w:vertAlign w:val="superscript"/>
        </w:rPr>
        <w:footnoteReference w:id="3"/>
      </w:r>
      <w:r w:rsidRPr="00C01C50">
        <w:rPr>
          <w:rFonts w:ascii="標楷體" w:eastAsia="標楷體" w:hAnsi="標楷體" w:cs="標楷體"/>
          <w:color w:val="000000" w:themeColor="text1"/>
        </w:rPr>
        <w:t>，整體進度難以及時回應每年新增</w:t>
      </w:r>
      <w:proofErr w:type="gramStart"/>
      <w:r w:rsidRPr="00C01C50">
        <w:rPr>
          <w:rFonts w:ascii="標楷體" w:eastAsia="標楷體" w:hAnsi="標楷體" w:cs="標楷體"/>
          <w:color w:val="000000" w:themeColor="text1"/>
        </w:rPr>
        <w:t>一</w:t>
      </w:r>
      <w:proofErr w:type="gramEnd"/>
      <w:r w:rsidRPr="00C01C50">
        <w:rPr>
          <w:rFonts w:ascii="標楷體" w:eastAsia="標楷體" w:hAnsi="標楷體" w:cs="標楷體"/>
          <w:color w:val="000000" w:themeColor="text1"/>
        </w:rPr>
        <w:t>至兩萬輪椅使用者的需求。鐵路方面，部分設有多個出入口</w:t>
      </w:r>
      <w:proofErr w:type="gramStart"/>
      <w:r w:rsidRPr="00C01C50">
        <w:rPr>
          <w:rFonts w:ascii="標楷體" w:eastAsia="標楷體" w:hAnsi="標楷體" w:cs="標楷體"/>
          <w:color w:val="000000" w:themeColor="text1"/>
        </w:rPr>
        <w:t>的港鐵車站</w:t>
      </w:r>
      <w:proofErr w:type="gramEnd"/>
      <w:r w:rsidRPr="00C01C50">
        <w:rPr>
          <w:rFonts w:ascii="標楷體" w:eastAsia="標楷體" w:hAnsi="標楷體" w:cs="標楷體"/>
          <w:color w:val="000000" w:themeColor="text1"/>
        </w:rPr>
        <w:t xml:space="preserve">，站內及連接地面的升降機配置不足，令輪椅使用者需繞行較長距離或多次轉乘升降機，顯著增加出行時間，降低其使用公共交通的意願 </w:t>
      </w:r>
      <w:r w:rsidRPr="00C01C50">
        <w:rPr>
          <w:rFonts w:ascii="標楷體" w:eastAsia="標楷體" w:hAnsi="標楷體" w:cs="標楷體"/>
          <w:color w:val="000000" w:themeColor="text1"/>
          <w:vertAlign w:val="superscript"/>
        </w:rPr>
        <w:footnoteReference w:id="4"/>
      </w:r>
      <w:r w:rsidRPr="00C01C50">
        <w:rPr>
          <w:rFonts w:ascii="標楷體" w:eastAsia="標楷體" w:hAnsi="標楷體" w:cs="標楷體"/>
          <w:color w:val="000000" w:themeColor="text1"/>
        </w:rPr>
        <w:t>。</w:t>
      </w:r>
    </w:p>
    <w:p w14:paraId="2D0AE53F" w14:textId="77777777" w:rsidR="00EB79C3" w:rsidRPr="00C01C50" w:rsidRDefault="00EB79C3">
      <w:pPr>
        <w:widowControl/>
        <w:ind w:firstLine="496"/>
        <w:jc w:val="both"/>
        <w:rPr>
          <w:rFonts w:ascii="標楷體" w:eastAsia="標楷體" w:hAnsi="標楷體" w:cs="標楷體"/>
          <w:color w:val="000000" w:themeColor="text1"/>
        </w:rPr>
      </w:pPr>
    </w:p>
    <w:p w14:paraId="16097A61" w14:textId="77777777" w:rsidR="00EB79C3" w:rsidRPr="00C01C50" w:rsidRDefault="00000000">
      <w:pPr>
        <w:widowControl/>
        <w:ind w:firstLine="496"/>
        <w:jc w:val="both"/>
        <w:rPr>
          <w:rFonts w:ascii="標楷體" w:eastAsia="標楷體" w:hAnsi="標楷體" w:cs="標楷體"/>
          <w:color w:val="000000" w:themeColor="text1"/>
        </w:rPr>
      </w:pPr>
      <w:r w:rsidRPr="00C01C50">
        <w:rPr>
          <w:rFonts w:ascii="標楷體" w:eastAsia="標楷體" w:hAnsi="標楷體" w:cs="標楷體"/>
          <w:color w:val="000000" w:themeColor="text1"/>
        </w:rPr>
        <w:t>因此，本會建議特區政府在加強跨境及新發展區交通連</w:t>
      </w:r>
      <w:proofErr w:type="gramStart"/>
      <w:r w:rsidRPr="00C01C50">
        <w:rPr>
          <w:rFonts w:ascii="標楷體" w:eastAsia="標楷體" w:hAnsi="標楷體" w:cs="標楷體"/>
          <w:color w:val="000000" w:themeColor="text1"/>
        </w:rPr>
        <w:t>繫</w:t>
      </w:r>
      <w:proofErr w:type="gramEnd"/>
      <w:r w:rsidRPr="00C01C50">
        <w:rPr>
          <w:rFonts w:ascii="標楷體" w:eastAsia="標楷體" w:hAnsi="標楷體" w:cs="標楷體"/>
          <w:color w:val="000000" w:themeColor="text1"/>
        </w:rPr>
        <w:t>的同時，必須正視既有市區的無障礙缺口，將「通用設計主流化」全面納入運輸規劃，並於香港首</w:t>
      </w:r>
      <w:proofErr w:type="gramStart"/>
      <w:r w:rsidRPr="00C01C50">
        <w:rPr>
          <w:rFonts w:ascii="標楷體" w:eastAsia="標楷體" w:hAnsi="標楷體" w:cs="標楷體"/>
          <w:color w:val="000000" w:themeColor="text1"/>
        </w:rPr>
        <w:t>個</w:t>
      </w:r>
      <w:proofErr w:type="gramEnd"/>
      <w:r w:rsidRPr="00C01C50">
        <w:rPr>
          <w:rFonts w:ascii="標楷體" w:eastAsia="標楷體" w:hAnsi="標楷體" w:cs="標楷體"/>
          <w:color w:val="000000" w:themeColor="text1"/>
        </w:rPr>
        <w:t>五年規劃中訂立具體目標，包括在五年內顯著提升可供輪椅上落的公共及點對點交通工具的比例，同時加強</w:t>
      </w:r>
      <w:proofErr w:type="gramStart"/>
      <w:r w:rsidRPr="00C01C50">
        <w:rPr>
          <w:rFonts w:ascii="標楷體" w:eastAsia="標楷體" w:hAnsi="標楷體" w:cs="標楷體"/>
          <w:color w:val="000000" w:themeColor="text1"/>
        </w:rPr>
        <w:t>規</w:t>
      </w:r>
      <w:proofErr w:type="gramEnd"/>
      <w:r w:rsidRPr="00C01C50">
        <w:rPr>
          <w:rFonts w:ascii="標楷體" w:eastAsia="標楷體" w:hAnsi="標楷體" w:cs="標楷體"/>
          <w:color w:val="000000" w:themeColor="text1"/>
        </w:rPr>
        <w:t>管無障礙的士服務收費。具體建議如下：</w:t>
      </w:r>
    </w:p>
    <w:p w14:paraId="04A8A293" w14:textId="77777777" w:rsidR="00EB79C3" w:rsidRPr="00C01C50" w:rsidRDefault="00EB79C3">
      <w:pPr>
        <w:widowControl/>
        <w:ind w:firstLine="496"/>
        <w:jc w:val="both"/>
        <w:rPr>
          <w:rFonts w:ascii="標楷體" w:eastAsia="標楷體" w:hAnsi="標楷體" w:cs="標楷體"/>
          <w:color w:val="000000" w:themeColor="text1"/>
        </w:rPr>
      </w:pPr>
    </w:p>
    <w:p w14:paraId="547191E1" w14:textId="77777777" w:rsidR="00EB79C3" w:rsidRPr="00C01C50" w:rsidRDefault="00000000">
      <w:pPr>
        <w:widowControl/>
        <w:jc w:val="both"/>
        <w:rPr>
          <w:rFonts w:ascii="標楷體" w:eastAsia="標楷體" w:hAnsi="標楷體" w:cs="標楷體"/>
          <w:color w:val="000000" w:themeColor="text1"/>
        </w:rPr>
      </w:pPr>
      <w:r w:rsidRPr="00C01C50">
        <w:rPr>
          <w:rFonts w:ascii="標楷體" w:eastAsia="標楷體" w:hAnsi="標楷體" w:cs="標楷體"/>
          <w:color w:val="000000" w:themeColor="text1"/>
          <w:u w:val="single"/>
        </w:rPr>
        <w:t>配合新發展區及跨境交通規劃，同步提升無障礙交通規劃及配套</w:t>
      </w:r>
    </w:p>
    <w:p w14:paraId="23F65296" w14:textId="77777777" w:rsidR="00EB79C3" w:rsidRPr="00C01C50" w:rsidRDefault="00000000">
      <w:pPr>
        <w:widowControl/>
        <w:numPr>
          <w:ilvl w:val="0"/>
          <w:numId w:val="8"/>
        </w:numPr>
        <w:jc w:val="both"/>
        <w:rPr>
          <w:rFonts w:ascii="標楷體" w:eastAsia="標楷體" w:hAnsi="標楷體" w:cs="標楷體"/>
          <w:color w:val="000000" w:themeColor="text1"/>
        </w:rPr>
      </w:pPr>
      <w:r w:rsidRPr="00C01C50">
        <w:rPr>
          <w:rFonts w:ascii="標楷體" w:eastAsia="標楷體" w:hAnsi="標楷體" w:cs="標楷體"/>
          <w:color w:val="000000" w:themeColor="text1"/>
        </w:rPr>
        <w:t>在規劃跨境交通時一併規劃</w:t>
      </w:r>
      <w:proofErr w:type="gramStart"/>
      <w:r w:rsidRPr="00C01C50">
        <w:rPr>
          <w:rFonts w:ascii="標楷體" w:eastAsia="標楷體" w:hAnsi="標楷體" w:cs="標楷體"/>
          <w:color w:val="000000" w:themeColor="text1"/>
        </w:rPr>
        <w:t>跨境無障礙</w:t>
      </w:r>
      <w:proofErr w:type="gramEnd"/>
      <w:r w:rsidRPr="00C01C50">
        <w:rPr>
          <w:rFonts w:ascii="標楷體" w:eastAsia="標楷體" w:hAnsi="標楷體" w:cs="標楷體"/>
          <w:color w:val="000000" w:themeColor="text1"/>
        </w:rPr>
        <w:t>交通服務及其配套，包括</w:t>
      </w:r>
      <w:proofErr w:type="gramStart"/>
      <w:r w:rsidRPr="00C01C50">
        <w:rPr>
          <w:rFonts w:ascii="標楷體" w:eastAsia="標楷體" w:hAnsi="標楷體" w:cs="標楷體"/>
          <w:color w:val="000000" w:themeColor="text1"/>
        </w:rPr>
        <w:t>︰</w:t>
      </w:r>
      <w:proofErr w:type="gramEnd"/>
    </w:p>
    <w:p w14:paraId="3BCB02E8" w14:textId="77777777" w:rsidR="00EB79C3" w:rsidRPr="00C01C50" w:rsidRDefault="00000000">
      <w:pPr>
        <w:widowControl/>
        <w:numPr>
          <w:ilvl w:val="1"/>
          <w:numId w:val="8"/>
        </w:numPr>
        <w:jc w:val="both"/>
        <w:rPr>
          <w:rFonts w:ascii="標楷體" w:eastAsia="標楷體" w:hAnsi="標楷體" w:cs="標楷體"/>
          <w:color w:val="000000" w:themeColor="text1"/>
        </w:rPr>
      </w:pPr>
      <w:r w:rsidRPr="00C01C50">
        <w:rPr>
          <w:rFonts w:ascii="標楷體" w:eastAsia="標楷體" w:hAnsi="標楷體" w:cs="標楷體"/>
          <w:color w:val="000000" w:themeColor="text1"/>
        </w:rPr>
        <w:t>規劃及資助直接的</w:t>
      </w:r>
      <w:proofErr w:type="gramStart"/>
      <w:r w:rsidRPr="00C01C50">
        <w:rPr>
          <w:rFonts w:ascii="標楷體" w:eastAsia="標楷體" w:hAnsi="標楷體" w:cs="標楷體"/>
          <w:color w:val="000000" w:themeColor="text1"/>
        </w:rPr>
        <w:t>跨境無障礙</w:t>
      </w:r>
      <w:proofErr w:type="gramEnd"/>
      <w:r w:rsidRPr="00C01C50">
        <w:rPr>
          <w:rFonts w:ascii="標楷體" w:eastAsia="標楷體" w:hAnsi="標楷體" w:cs="標楷體"/>
          <w:color w:val="000000" w:themeColor="text1"/>
        </w:rPr>
        <w:t>車輛服務，可於初期先在週末提供服務，再按需求逐步擴展至平日，</w:t>
      </w:r>
      <w:r w:rsidRPr="00C01C50">
        <w:rPr>
          <w:rFonts w:ascii="標楷體" w:eastAsia="標楷體" w:hAnsi="標楷體" w:cs="標楷體"/>
          <w:b/>
          <w:bCs/>
          <w:color w:val="000000" w:themeColor="text1"/>
        </w:rPr>
        <w:t>務求於五年內在至少一個口岸提供每日營運的</w:t>
      </w:r>
      <w:proofErr w:type="gramStart"/>
      <w:r w:rsidRPr="00C01C50">
        <w:rPr>
          <w:rFonts w:ascii="標楷體" w:eastAsia="標楷體" w:hAnsi="標楷體" w:cs="標楷體"/>
          <w:b/>
          <w:bCs/>
          <w:color w:val="000000" w:themeColor="text1"/>
        </w:rPr>
        <w:t>跨境無障礙</w:t>
      </w:r>
      <w:proofErr w:type="gramEnd"/>
      <w:r w:rsidRPr="00C01C50">
        <w:rPr>
          <w:rFonts w:ascii="標楷體" w:eastAsia="標楷體" w:hAnsi="標楷體" w:cs="標楷體"/>
          <w:b/>
          <w:bCs/>
          <w:color w:val="000000" w:themeColor="text1"/>
        </w:rPr>
        <w:t>車輛服務</w:t>
      </w:r>
      <w:r w:rsidRPr="00C01C50">
        <w:rPr>
          <w:rFonts w:ascii="標楷體" w:eastAsia="標楷體" w:hAnsi="標楷體" w:cs="標楷體"/>
          <w:color w:val="000000" w:themeColor="text1"/>
        </w:rPr>
        <w:t>；</w:t>
      </w:r>
    </w:p>
    <w:p w14:paraId="763B63E2" w14:textId="77777777" w:rsidR="00EB79C3" w:rsidRPr="00C01C50" w:rsidRDefault="00000000">
      <w:pPr>
        <w:widowControl/>
        <w:numPr>
          <w:ilvl w:val="1"/>
          <w:numId w:val="8"/>
        </w:numPr>
        <w:jc w:val="both"/>
        <w:rPr>
          <w:rFonts w:ascii="標楷體" w:eastAsia="標楷體" w:hAnsi="標楷體" w:cs="標楷體"/>
          <w:color w:val="000000" w:themeColor="text1"/>
        </w:rPr>
      </w:pPr>
      <w:r w:rsidRPr="00C01C50">
        <w:rPr>
          <w:rFonts w:ascii="標楷體" w:eastAsia="標楷體" w:hAnsi="標楷體" w:cs="標楷體"/>
          <w:b/>
          <w:bCs/>
          <w:color w:val="000000" w:themeColor="text1"/>
        </w:rPr>
        <w:lastRenderedPageBreak/>
        <w:t>於五年內妥善安排各過境口岸的無障礙車輛停泊、上落及等候空間</w:t>
      </w:r>
      <w:r w:rsidRPr="00C01C50">
        <w:rPr>
          <w:rFonts w:ascii="標楷體" w:eastAsia="標楷體" w:hAnsi="標楷體" w:cs="標楷體"/>
          <w:color w:val="000000" w:themeColor="text1"/>
        </w:rPr>
        <w:t>，確保行動不便人士有更多合適的口岸選擇。</w:t>
      </w:r>
    </w:p>
    <w:p w14:paraId="5F73BAA1" w14:textId="77777777" w:rsidR="00EB79C3" w:rsidRPr="00C01C50" w:rsidRDefault="00EB79C3">
      <w:pPr>
        <w:widowControl/>
        <w:ind w:left="480"/>
        <w:jc w:val="both"/>
        <w:rPr>
          <w:rFonts w:ascii="標楷體" w:eastAsia="標楷體" w:hAnsi="標楷體" w:cs="標楷體"/>
          <w:color w:val="000000" w:themeColor="text1"/>
        </w:rPr>
      </w:pPr>
    </w:p>
    <w:p w14:paraId="75CB911F" w14:textId="77777777" w:rsidR="00EB79C3" w:rsidRPr="00C01C50" w:rsidRDefault="00000000">
      <w:pPr>
        <w:widowControl/>
        <w:numPr>
          <w:ilvl w:val="0"/>
          <w:numId w:val="8"/>
        </w:numPr>
        <w:jc w:val="both"/>
        <w:rPr>
          <w:rFonts w:ascii="標楷體" w:eastAsia="標楷體" w:hAnsi="標楷體" w:cs="標楷體"/>
          <w:color w:val="000000" w:themeColor="text1"/>
        </w:rPr>
      </w:pPr>
      <w:r w:rsidRPr="00C01C50">
        <w:rPr>
          <w:rFonts w:ascii="標楷體" w:eastAsia="標楷體" w:hAnsi="標楷體" w:cs="標楷體"/>
          <w:color w:val="000000" w:themeColor="text1"/>
        </w:rPr>
        <w:t>配合北部都會區發展，以及民居及大型社會服務陸續進駐，</w:t>
      </w:r>
      <w:r w:rsidRPr="00C01C50">
        <w:rPr>
          <w:rFonts w:ascii="標楷體" w:eastAsia="標楷體" w:hAnsi="標楷體" w:cs="標楷體"/>
          <w:b/>
          <w:bCs/>
          <w:color w:val="000000" w:themeColor="text1"/>
        </w:rPr>
        <w:t>政府應同步規劃區內無障礙交通配套，包括公共交通工具、轉乘樞紐及導向系統的無障礙設計，以及充足且適用於的士、小巴、巴士及其他無障礙車輛的快速充電設施</w:t>
      </w:r>
      <w:r w:rsidRPr="00C01C50">
        <w:rPr>
          <w:rFonts w:ascii="標楷體" w:eastAsia="標楷體" w:hAnsi="標楷體" w:cs="標楷體"/>
          <w:color w:val="000000" w:themeColor="text1"/>
        </w:rPr>
        <w:t>，確保新發展區在「智慧」及「綠色」之外，同時達致真正「以人為本」。</w:t>
      </w:r>
    </w:p>
    <w:p w14:paraId="1D8B3BEA" w14:textId="77777777" w:rsidR="00EB79C3" w:rsidRPr="00C01C50" w:rsidRDefault="00EB79C3">
      <w:pPr>
        <w:widowControl/>
        <w:ind w:left="480"/>
        <w:jc w:val="both"/>
        <w:rPr>
          <w:rFonts w:ascii="標楷體" w:eastAsia="標楷體" w:hAnsi="標楷體" w:cs="標楷體"/>
          <w:color w:val="000000" w:themeColor="text1"/>
        </w:rPr>
      </w:pPr>
    </w:p>
    <w:p w14:paraId="018637FC" w14:textId="77777777" w:rsidR="00EB79C3" w:rsidRPr="00C01C50" w:rsidRDefault="00000000">
      <w:pPr>
        <w:widowControl/>
        <w:numPr>
          <w:ilvl w:val="0"/>
          <w:numId w:val="8"/>
        </w:numPr>
        <w:jc w:val="both"/>
        <w:rPr>
          <w:rFonts w:ascii="標楷體" w:eastAsia="標楷體" w:hAnsi="標楷體" w:cs="標楷體"/>
          <w:color w:val="000000" w:themeColor="text1"/>
        </w:rPr>
      </w:pPr>
      <w:r w:rsidRPr="00C01C50">
        <w:rPr>
          <w:rFonts w:ascii="標楷體" w:eastAsia="標楷體" w:hAnsi="標楷體" w:cs="標楷體"/>
          <w:color w:val="000000" w:themeColor="text1"/>
        </w:rPr>
        <w:t>在規劃及推行「運輸交</w:t>
      </w:r>
      <w:proofErr w:type="gramStart"/>
      <w:r w:rsidRPr="00C01C50">
        <w:rPr>
          <w:rFonts w:ascii="標楷體" w:eastAsia="標楷體" w:hAnsi="標楷體" w:cs="標楷體"/>
          <w:color w:val="000000" w:themeColor="text1"/>
        </w:rPr>
        <w:t>匯</w:t>
      </w:r>
      <w:proofErr w:type="gramEnd"/>
      <w:r w:rsidRPr="00C01C50">
        <w:rPr>
          <w:rFonts w:ascii="標楷體" w:eastAsia="標楷體" w:hAnsi="標楷體" w:cs="標楷體"/>
          <w:color w:val="000000" w:themeColor="text1"/>
        </w:rPr>
        <w:t>樞紐」、「智慧綠色集體運輸系統」、「自動駕駛車輛」等新一代交通及基建項目時，</w:t>
      </w:r>
      <w:r w:rsidRPr="00C01C50">
        <w:rPr>
          <w:rFonts w:ascii="標楷體" w:eastAsia="標楷體" w:hAnsi="標楷體" w:cs="標楷體"/>
          <w:b/>
          <w:bCs/>
          <w:color w:val="000000" w:themeColor="text1"/>
        </w:rPr>
        <w:t>政府應在項目規劃初期，系統性地諮詢長者、殘疾人士及其家屬、復康及長者服務界等</w:t>
      </w:r>
      <w:proofErr w:type="gramStart"/>
      <w:r w:rsidRPr="00C01C50">
        <w:rPr>
          <w:rFonts w:ascii="標楷體" w:eastAsia="標楷體" w:hAnsi="標楷體" w:cs="標楷體"/>
          <w:b/>
          <w:bCs/>
          <w:color w:val="000000" w:themeColor="text1"/>
        </w:rPr>
        <w:t>持份者的</w:t>
      </w:r>
      <w:proofErr w:type="gramEnd"/>
      <w:r w:rsidRPr="00C01C50">
        <w:rPr>
          <w:rFonts w:ascii="標楷體" w:eastAsia="標楷體" w:hAnsi="標楷體" w:cs="標楷體"/>
          <w:b/>
          <w:bCs/>
          <w:color w:val="000000" w:themeColor="text1"/>
        </w:rPr>
        <w:t>意見</w:t>
      </w:r>
      <w:r w:rsidRPr="00C01C50">
        <w:rPr>
          <w:rFonts w:ascii="標楷體" w:eastAsia="標楷體" w:hAnsi="標楷體" w:cs="標楷體"/>
          <w:color w:val="000000" w:themeColor="text1"/>
        </w:rPr>
        <w:t>，及早辨識潛在障礙，確保新一代交通基建符合「通用設計」原則，而非事後補救。</w:t>
      </w:r>
    </w:p>
    <w:p w14:paraId="151E65F6" w14:textId="77777777" w:rsidR="00EB79C3" w:rsidRPr="00C01C50" w:rsidRDefault="00EB79C3">
      <w:pPr>
        <w:widowControl/>
        <w:jc w:val="both"/>
        <w:rPr>
          <w:rFonts w:ascii="標楷體" w:eastAsia="標楷體" w:hAnsi="標楷體" w:cs="標楷體"/>
          <w:color w:val="000000" w:themeColor="text1"/>
        </w:rPr>
      </w:pPr>
    </w:p>
    <w:p w14:paraId="4A3A56AD" w14:textId="77777777" w:rsidR="00EB79C3" w:rsidRPr="00C01C50" w:rsidRDefault="00000000">
      <w:pPr>
        <w:widowControl/>
        <w:jc w:val="both"/>
        <w:rPr>
          <w:rFonts w:ascii="標楷體" w:eastAsia="標楷體" w:hAnsi="標楷體" w:cs="標楷體"/>
          <w:color w:val="000000" w:themeColor="text1"/>
          <w:u w:val="single"/>
        </w:rPr>
      </w:pPr>
      <w:r w:rsidRPr="00C01C50">
        <w:rPr>
          <w:rFonts w:ascii="標楷體" w:eastAsia="標楷體" w:hAnsi="標楷體" w:cs="標楷體"/>
          <w:color w:val="000000" w:themeColor="text1"/>
          <w:u w:val="single"/>
        </w:rPr>
        <w:t>針對性提升既有公共運輸系統的無障礙程度</w:t>
      </w:r>
    </w:p>
    <w:p w14:paraId="3B1BF4B1" w14:textId="77777777" w:rsidR="00EB79C3" w:rsidRPr="00C01C50" w:rsidRDefault="00000000">
      <w:pPr>
        <w:widowControl/>
        <w:numPr>
          <w:ilvl w:val="0"/>
          <w:numId w:val="8"/>
        </w:numPr>
        <w:jc w:val="both"/>
        <w:rPr>
          <w:rFonts w:ascii="標楷體" w:eastAsia="標楷體" w:hAnsi="標楷體" w:cs="標楷體"/>
          <w:color w:val="000000" w:themeColor="text1"/>
        </w:rPr>
      </w:pPr>
      <w:r w:rsidRPr="00C01C50">
        <w:rPr>
          <w:rFonts w:ascii="標楷體" w:eastAsia="標楷體" w:hAnsi="標楷體" w:cs="標楷體"/>
          <w:color w:val="000000" w:themeColor="text1"/>
        </w:rPr>
        <w:t>善用車輛電動化轉型契機，推動「綠色」與「無障礙」同步發展，並於五年規劃中訂立</w:t>
      </w:r>
      <w:r w:rsidRPr="00C01C50">
        <w:rPr>
          <w:rFonts w:ascii="標楷體" w:eastAsia="標楷體" w:hAnsi="標楷體" w:cs="標楷體"/>
          <w:b/>
          <w:bCs/>
          <w:color w:val="000000" w:themeColor="text1"/>
        </w:rPr>
        <w:t>五年內將可供輪椅上落的點對點交通工具（包括的士及網約車）市場比例提升至不少於40%，及進一步增加可供輪椅上落的低地台小巴數目。</w:t>
      </w:r>
      <w:r w:rsidRPr="00C01C50">
        <w:rPr>
          <w:rFonts w:ascii="標楷體" w:eastAsia="標楷體" w:hAnsi="標楷體" w:cs="標楷體"/>
          <w:color w:val="000000" w:themeColor="text1"/>
        </w:rPr>
        <w:t>措施包括：</w:t>
      </w:r>
    </w:p>
    <w:p w14:paraId="3A86F12F" w14:textId="77777777" w:rsidR="00EB79C3" w:rsidRPr="00C01C50" w:rsidRDefault="00000000">
      <w:pPr>
        <w:widowControl/>
        <w:numPr>
          <w:ilvl w:val="0"/>
          <w:numId w:val="18"/>
        </w:numPr>
        <w:ind w:left="850" w:hanging="359"/>
        <w:jc w:val="both"/>
        <w:rPr>
          <w:rFonts w:ascii="標楷體" w:eastAsia="標楷體" w:hAnsi="標楷體" w:cs="標楷體"/>
          <w:color w:val="000000" w:themeColor="text1"/>
        </w:rPr>
      </w:pPr>
      <w:r w:rsidRPr="00C01C50">
        <w:rPr>
          <w:rFonts w:ascii="標楷體" w:eastAsia="標楷體" w:hAnsi="標楷體" w:cs="標楷體"/>
          <w:color w:val="000000" w:themeColor="text1"/>
        </w:rPr>
        <w:t>積極與營運商、政府部門及供應商合作，引入具備高續航力、快速充電能力及穩定維修支援的電動低地台無</w:t>
      </w:r>
      <w:proofErr w:type="gramStart"/>
      <w:r w:rsidRPr="00C01C50">
        <w:rPr>
          <w:rFonts w:ascii="標楷體" w:eastAsia="標楷體" w:hAnsi="標楷體" w:cs="標楷體"/>
          <w:color w:val="000000" w:themeColor="text1"/>
        </w:rPr>
        <w:t>障礙小巴及</w:t>
      </w:r>
      <w:proofErr w:type="gramEnd"/>
      <w:r w:rsidRPr="00C01C50">
        <w:rPr>
          <w:rFonts w:ascii="標楷體" w:eastAsia="標楷體" w:hAnsi="標楷體" w:cs="標楷體"/>
          <w:color w:val="000000" w:themeColor="text1"/>
        </w:rPr>
        <w:t>的士（包括內地型號），並提供購置補貼、充電優惠及加快建設專用快速充電設施，以提升業界採用意願；</w:t>
      </w:r>
    </w:p>
    <w:p w14:paraId="65DF6B78" w14:textId="77777777" w:rsidR="00EB79C3" w:rsidRPr="00C01C50" w:rsidRDefault="00000000">
      <w:pPr>
        <w:widowControl/>
        <w:numPr>
          <w:ilvl w:val="0"/>
          <w:numId w:val="18"/>
        </w:numPr>
        <w:ind w:left="850" w:hanging="359"/>
        <w:jc w:val="both"/>
        <w:rPr>
          <w:rFonts w:ascii="標楷體" w:eastAsia="標楷體" w:hAnsi="標楷體" w:cs="標楷體"/>
          <w:color w:val="000000" w:themeColor="text1"/>
        </w:rPr>
      </w:pPr>
      <w:r w:rsidRPr="00C01C50">
        <w:rPr>
          <w:rFonts w:ascii="標楷體" w:eastAsia="標楷體" w:hAnsi="標楷體" w:cs="標楷體"/>
          <w:color w:val="000000" w:themeColor="text1"/>
        </w:rPr>
        <w:t>在具備合適小巴車型後，透過資助或營運誘因，要求行經醫院的專線小巴路線在指定時段內逐步將低地台無障礙車輛比例提升至不少於班次的一半；</w:t>
      </w:r>
    </w:p>
    <w:p w14:paraId="472ABACD" w14:textId="77777777" w:rsidR="00EB79C3" w:rsidRPr="00C01C50" w:rsidRDefault="00000000">
      <w:pPr>
        <w:widowControl/>
        <w:numPr>
          <w:ilvl w:val="0"/>
          <w:numId w:val="18"/>
        </w:numPr>
        <w:ind w:left="850" w:hanging="359"/>
        <w:jc w:val="both"/>
        <w:rPr>
          <w:rFonts w:ascii="標楷體" w:eastAsia="標楷體" w:hAnsi="標楷體" w:cs="標楷體"/>
          <w:color w:val="000000" w:themeColor="text1"/>
        </w:rPr>
      </w:pPr>
      <w:r w:rsidRPr="00C01C50">
        <w:rPr>
          <w:rFonts w:ascii="標楷體" w:eastAsia="標楷體" w:hAnsi="標楷體" w:cs="標楷體"/>
          <w:color w:val="000000" w:themeColor="text1"/>
        </w:rPr>
        <w:t>儘快落實「電動輪椅的士資助計劃」的具體安排，並在不影響整體電動化目標的前提下，研究將部分現有向非無障礙的士提供的「電動的士資助計劃」資助額重新分配至「電動輪椅的士資助計劃」，以增加無障礙電動的士的供應；</w:t>
      </w:r>
    </w:p>
    <w:p w14:paraId="4D4D2D01" w14:textId="77777777" w:rsidR="00EB79C3" w:rsidRPr="00C01C50" w:rsidRDefault="00000000">
      <w:pPr>
        <w:widowControl/>
        <w:numPr>
          <w:ilvl w:val="0"/>
          <w:numId w:val="18"/>
        </w:numPr>
        <w:ind w:left="850" w:hanging="359"/>
        <w:jc w:val="both"/>
        <w:rPr>
          <w:rFonts w:ascii="標楷體" w:eastAsia="標楷體" w:hAnsi="標楷體" w:cs="標楷體"/>
          <w:color w:val="000000" w:themeColor="text1"/>
        </w:rPr>
      </w:pPr>
      <w:r w:rsidRPr="00C01C50">
        <w:rPr>
          <w:rFonts w:ascii="標楷體" w:eastAsia="標楷體" w:hAnsi="標楷體" w:cs="標楷體"/>
          <w:color w:val="000000" w:themeColor="text1"/>
        </w:rPr>
        <w:t>在引入</w:t>
      </w:r>
      <w:proofErr w:type="gramStart"/>
      <w:r w:rsidRPr="00C01C50">
        <w:rPr>
          <w:rFonts w:ascii="標楷體" w:eastAsia="標楷體" w:hAnsi="標楷體" w:cs="標楷體"/>
          <w:color w:val="000000" w:themeColor="text1"/>
        </w:rPr>
        <w:t>網約車規</w:t>
      </w:r>
      <w:proofErr w:type="gramEnd"/>
      <w:r w:rsidRPr="00C01C50">
        <w:rPr>
          <w:rFonts w:ascii="標楷體" w:eastAsia="標楷體" w:hAnsi="標楷體" w:cs="標楷體"/>
          <w:color w:val="000000" w:themeColor="text1"/>
        </w:rPr>
        <w:t>管制度時，訂明無障礙車輛與一般車輛最低比例（例如2比3），並為無障礙設計車輛</w:t>
      </w:r>
      <w:proofErr w:type="gramStart"/>
      <w:r w:rsidRPr="00C01C50">
        <w:rPr>
          <w:rFonts w:ascii="標楷體" w:eastAsia="標楷體" w:hAnsi="標楷體" w:cs="標楷體"/>
          <w:color w:val="000000" w:themeColor="text1"/>
        </w:rPr>
        <w:t>提供續牌優惠</w:t>
      </w:r>
      <w:proofErr w:type="gramEnd"/>
      <w:r w:rsidRPr="00C01C50">
        <w:rPr>
          <w:rFonts w:ascii="標楷體" w:eastAsia="標楷體" w:hAnsi="標楷體" w:cs="標楷體"/>
          <w:color w:val="000000" w:themeColor="text1"/>
        </w:rPr>
        <w:t>，結構性地提升無障礙點對點交通服務的市場供應。</w:t>
      </w:r>
    </w:p>
    <w:p w14:paraId="24C453BC" w14:textId="77777777" w:rsidR="00EB79C3" w:rsidRPr="00C01C50" w:rsidRDefault="00EB79C3">
      <w:pPr>
        <w:widowControl/>
        <w:jc w:val="both"/>
        <w:rPr>
          <w:rFonts w:ascii="標楷體" w:eastAsia="標楷體" w:hAnsi="標楷體" w:cs="標楷體"/>
          <w:color w:val="000000" w:themeColor="text1"/>
        </w:rPr>
      </w:pPr>
    </w:p>
    <w:p w14:paraId="1ACD1B01" w14:textId="77777777" w:rsidR="00EB79C3" w:rsidRPr="00C01C50" w:rsidRDefault="00000000">
      <w:pPr>
        <w:widowControl/>
        <w:numPr>
          <w:ilvl w:val="0"/>
          <w:numId w:val="8"/>
        </w:numPr>
        <w:jc w:val="both"/>
        <w:rPr>
          <w:rFonts w:ascii="標楷體" w:eastAsia="標楷體" w:hAnsi="標楷體" w:cs="標楷體"/>
          <w:color w:val="000000" w:themeColor="text1"/>
        </w:rPr>
      </w:pPr>
      <w:r w:rsidRPr="00C01C50">
        <w:rPr>
          <w:rFonts w:ascii="標楷體" w:eastAsia="標楷體" w:hAnsi="標楷體" w:cs="標楷體"/>
          <w:color w:val="000000" w:themeColor="text1"/>
        </w:rPr>
        <w:t>政府為專營巴士提供財政誘因，</w:t>
      </w:r>
      <w:r w:rsidRPr="00C01C50">
        <w:rPr>
          <w:rFonts w:ascii="標楷體" w:eastAsia="標楷體" w:hAnsi="標楷體" w:cs="標楷體"/>
          <w:b/>
          <w:bCs/>
          <w:color w:val="000000" w:themeColor="text1"/>
        </w:rPr>
        <w:t>要求</w:t>
      </w:r>
      <w:proofErr w:type="gramStart"/>
      <w:r w:rsidRPr="00C01C50">
        <w:rPr>
          <w:rFonts w:ascii="標楷體" w:eastAsia="標楷體" w:hAnsi="標楷體" w:cs="標楷體"/>
          <w:b/>
          <w:bCs/>
          <w:color w:val="000000" w:themeColor="text1"/>
        </w:rPr>
        <w:t>營辦商</w:t>
      </w:r>
      <w:proofErr w:type="gramEnd"/>
      <w:r w:rsidRPr="00C01C50">
        <w:rPr>
          <w:rFonts w:ascii="標楷體" w:eastAsia="標楷體" w:hAnsi="標楷體" w:cs="標楷體"/>
          <w:b/>
          <w:bCs/>
          <w:color w:val="000000" w:themeColor="text1"/>
        </w:rPr>
        <w:t>於五年內為車齡十年以下、僅設單一輪椅泊位的巴士加裝第二</w:t>
      </w:r>
      <w:proofErr w:type="gramStart"/>
      <w:r w:rsidRPr="00C01C50">
        <w:rPr>
          <w:rFonts w:ascii="標楷體" w:eastAsia="標楷體" w:hAnsi="標楷體" w:cs="標楷體"/>
          <w:b/>
          <w:bCs/>
          <w:color w:val="000000" w:themeColor="text1"/>
        </w:rPr>
        <w:t>個</w:t>
      </w:r>
      <w:proofErr w:type="gramEnd"/>
      <w:r w:rsidRPr="00C01C50">
        <w:rPr>
          <w:rFonts w:ascii="標楷體" w:eastAsia="標楷體" w:hAnsi="標楷體" w:cs="標楷體"/>
          <w:b/>
          <w:bCs/>
          <w:color w:val="000000" w:themeColor="text1"/>
        </w:rPr>
        <w:t>輪椅泊位，並於新購車輛時全面採用雙輪椅泊位設計</w:t>
      </w:r>
      <w:r w:rsidRPr="00C01C50">
        <w:rPr>
          <w:rFonts w:ascii="標楷體" w:eastAsia="標楷體" w:hAnsi="標楷體" w:cs="標楷體"/>
          <w:color w:val="000000" w:themeColor="text1"/>
        </w:rPr>
        <w:t>，以加快提升整體可服務輪椅乘客的容量。</w:t>
      </w:r>
    </w:p>
    <w:p w14:paraId="4991C8AF" w14:textId="77777777" w:rsidR="00EB79C3" w:rsidRPr="00C01C50" w:rsidRDefault="00EB79C3">
      <w:pPr>
        <w:widowControl/>
        <w:ind w:left="480"/>
        <w:jc w:val="both"/>
        <w:rPr>
          <w:rFonts w:ascii="標楷體" w:eastAsia="標楷體" w:hAnsi="標楷體" w:cs="標楷體"/>
          <w:color w:val="000000" w:themeColor="text1"/>
        </w:rPr>
      </w:pPr>
    </w:p>
    <w:p w14:paraId="78CCBAD0" w14:textId="77777777" w:rsidR="00EB79C3" w:rsidRPr="00C01C50" w:rsidRDefault="00000000">
      <w:pPr>
        <w:widowControl/>
        <w:numPr>
          <w:ilvl w:val="0"/>
          <w:numId w:val="8"/>
        </w:numPr>
        <w:jc w:val="both"/>
        <w:rPr>
          <w:rFonts w:ascii="標楷體" w:eastAsia="標楷體" w:hAnsi="標楷體" w:cs="標楷體"/>
          <w:color w:val="000000" w:themeColor="text1"/>
        </w:rPr>
      </w:pPr>
      <w:r w:rsidRPr="00C01C50">
        <w:rPr>
          <w:rFonts w:ascii="標楷體" w:eastAsia="標楷體" w:hAnsi="標楷體" w:cs="標楷體"/>
          <w:color w:val="000000" w:themeColor="text1"/>
        </w:rPr>
        <w:t>為提升</w:t>
      </w:r>
      <w:r w:rsidRPr="00C01C50">
        <w:rPr>
          <w:rFonts w:ascii="標楷體" w:eastAsia="標楷體" w:hAnsi="標楷體" w:cs="標楷體"/>
          <w:b/>
          <w:bCs/>
          <w:color w:val="000000" w:themeColor="text1"/>
        </w:rPr>
        <w:t>無障礙的士服務的可及性及負擔能力</w:t>
      </w:r>
      <w:proofErr w:type="gramStart"/>
      <w:r w:rsidRPr="00C01C50">
        <w:rPr>
          <w:rFonts w:ascii="標楷體" w:eastAsia="標楷體" w:hAnsi="標楷體" w:cs="標楷體"/>
          <w:color w:val="000000" w:themeColor="text1"/>
        </w:rPr>
        <w:t>︰</w:t>
      </w:r>
      <w:proofErr w:type="gramEnd"/>
    </w:p>
    <w:p w14:paraId="6127A436" w14:textId="77777777" w:rsidR="00EB79C3" w:rsidRPr="00C01C50" w:rsidRDefault="00000000">
      <w:pPr>
        <w:widowControl/>
        <w:numPr>
          <w:ilvl w:val="0"/>
          <w:numId w:val="23"/>
        </w:numPr>
        <w:ind w:left="850" w:hanging="359"/>
        <w:jc w:val="both"/>
        <w:rPr>
          <w:rFonts w:ascii="Times New Roman" w:eastAsia="Times New Roman" w:hAnsi="Times New Roman" w:cs="Times New Roman"/>
          <w:color w:val="000000" w:themeColor="text1"/>
        </w:rPr>
      </w:pPr>
      <w:proofErr w:type="gramStart"/>
      <w:r w:rsidRPr="00C01C50">
        <w:rPr>
          <w:rFonts w:ascii="標楷體" w:eastAsia="標楷體" w:hAnsi="標楷體" w:cs="標楷體"/>
          <w:color w:val="000000" w:themeColor="text1"/>
        </w:rPr>
        <w:t>修例禁止</w:t>
      </w:r>
      <w:proofErr w:type="gramEnd"/>
      <w:r w:rsidRPr="00C01C50">
        <w:rPr>
          <w:rFonts w:ascii="標楷體" w:eastAsia="標楷體" w:hAnsi="標楷體" w:cs="標楷體"/>
          <w:color w:val="000000" w:themeColor="text1"/>
        </w:rPr>
        <w:t>現時的士營運者、的士車隊及未來的無障礙</w:t>
      </w:r>
      <w:proofErr w:type="gramStart"/>
      <w:r w:rsidRPr="00C01C50">
        <w:rPr>
          <w:rFonts w:ascii="標楷體" w:eastAsia="標楷體" w:hAnsi="標楷體" w:cs="標楷體"/>
          <w:color w:val="000000" w:themeColor="text1"/>
        </w:rPr>
        <w:t>網約車</w:t>
      </w:r>
      <w:proofErr w:type="gramEnd"/>
      <w:r w:rsidRPr="00C01C50">
        <w:rPr>
          <w:rFonts w:ascii="標楷體" w:eastAsia="標楷體" w:hAnsi="標楷體" w:cs="標楷體"/>
          <w:color w:val="000000" w:themeColor="text1"/>
        </w:rPr>
        <w:t>就無障礙服務向輪椅使用者額外收取包車預約費，並</w:t>
      </w:r>
      <w:r w:rsidRPr="00C01C50">
        <w:rPr>
          <w:rFonts w:ascii="標楷體" w:eastAsia="標楷體" w:hAnsi="標楷體" w:cs="標楷體"/>
          <w:b/>
          <w:bCs/>
          <w:color w:val="000000" w:themeColor="text1"/>
        </w:rPr>
        <w:t>將相關收費納入現行的士收費表中的附加收費項目，由政府統一</w:t>
      </w:r>
      <w:proofErr w:type="gramStart"/>
      <w:r w:rsidRPr="00C01C50">
        <w:rPr>
          <w:rFonts w:ascii="標楷體" w:eastAsia="標楷體" w:hAnsi="標楷體" w:cs="標楷體"/>
          <w:b/>
          <w:bCs/>
          <w:color w:val="000000" w:themeColor="text1"/>
        </w:rPr>
        <w:t>規</w:t>
      </w:r>
      <w:proofErr w:type="gramEnd"/>
      <w:r w:rsidRPr="00C01C50">
        <w:rPr>
          <w:rFonts w:ascii="標楷體" w:eastAsia="標楷體" w:hAnsi="標楷體" w:cs="標楷體"/>
          <w:b/>
          <w:bCs/>
          <w:color w:val="000000" w:themeColor="text1"/>
        </w:rPr>
        <w:t>管和監督</w:t>
      </w:r>
      <w:r w:rsidRPr="00C01C50">
        <w:rPr>
          <w:rFonts w:ascii="標楷體" w:eastAsia="標楷體" w:hAnsi="標楷體" w:cs="標楷體"/>
          <w:color w:val="000000" w:themeColor="text1"/>
        </w:rPr>
        <w:t>；</w:t>
      </w:r>
    </w:p>
    <w:p w14:paraId="48D3A620" w14:textId="77777777" w:rsidR="00EB79C3" w:rsidRPr="00C01C50" w:rsidRDefault="00000000">
      <w:pPr>
        <w:widowControl/>
        <w:numPr>
          <w:ilvl w:val="0"/>
          <w:numId w:val="23"/>
        </w:numPr>
        <w:ind w:left="850" w:hanging="359"/>
        <w:jc w:val="both"/>
        <w:rPr>
          <w:rFonts w:ascii="Times New Roman" w:eastAsia="Times New Roman" w:hAnsi="Times New Roman" w:cs="Times New Roman"/>
          <w:color w:val="000000" w:themeColor="text1"/>
        </w:rPr>
      </w:pPr>
      <w:r w:rsidRPr="00C01C50">
        <w:rPr>
          <w:rFonts w:ascii="標楷體" w:eastAsia="標楷體" w:hAnsi="標楷體" w:cs="標楷體"/>
          <w:color w:val="000000" w:themeColor="text1"/>
        </w:rPr>
        <w:t>研究為殘疾人士提供一定額度的</w:t>
      </w:r>
      <w:r w:rsidRPr="00C01C50">
        <w:rPr>
          <w:rFonts w:ascii="標楷體" w:eastAsia="標楷體" w:hAnsi="標楷體" w:cs="標楷體"/>
          <w:b/>
          <w:bCs/>
          <w:color w:val="000000" w:themeColor="text1"/>
        </w:rPr>
        <w:t>交通津貼</w:t>
      </w:r>
      <w:proofErr w:type="gramStart"/>
      <w:r w:rsidRPr="00C01C50">
        <w:rPr>
          <w:rFonts w:ascii="標楷體" w:eastAsia="標楷體" w:hAnsi="標楷體" w:cs="標楷體"/>
          <w:b/>
          <w:bCs/>
          <w:color w:val="000000" w:themeColor="text1"/>
        </w:rPr>
        <w:t>券</w:t>
      </w:r>
      <w:proofErr w:type="gramEnd"/>
      <w:r w:rsidRPr="00C01C50">
        <w:rPr>
          <w:rFonts w:ascii="標楷體" w:eastAsia="標楷體" w:hAnsi="標楷體" w:cs="標楷體"/>
          <w:color w:val="000000" w:themeColor="text1"/>
        </w:rPr>
        <w:t>，為殘疾人士提供多一個可負擔的點到點交通選擇。</w:t>
      </w:r>
    </w:p>
    <w:p w14:paraId="7A98F2C9" w14:textId="77777777" w:rsidR="00EB79C3" w:rsidRPr="00C01C50" w:rsidRDefault="00EB79C3">
      <w:pPr>
        <w:widowControl/>
        <w:ind w:left="420"/>
        <w:jc w:val="both"/>
        <w:rPr>
          <w:rFonts w:ascii="標楷體" w:eastAsia="標楷體" w:hAnsi="標楷體" w:cs="標楷體"/>
          <w:color w:val="000000" w:themeColor="text1"/>
          <w:u w:val="single"/>
        </w:rPr>
      </w:pPr>
    </w:p>
    <w:p w14:paraId="58A70F11" w14:textId="77777777" w:rsidR="00EB79C3" w:rsidRPr="00C01C50" w:rsidRDefault="00000000">
      <w:pPr>
        <w:widowControl/>
        <w:numPr>
          <w:ilvl w:val="0"/>
          <w:numId w:val="8"/>
        </w:numPr>
        <w:jc w:val="both"/>
        <w:rPr>
          <w:rFonts w:ascii="標楷體" w:eastAsia="標楷體" w:hAnsi="標楷體" w:cs="標楷體"/>
          <w:color w:val="000000" w:themeColor="text1"/>
        </w:rPr>
        <w:sectPr w:rsidR="00EB79C3" w:rsidRPr="00C01C50">
          <w:pgSz w:w="11906" w:h="16838"/>
          <w:pgMar w:top="1440" w:right="1440" w:bottom="1440" w:left="1440" w:header="851" w:footer="992" w:gutter="0"/>
          <w:cols w:space="720"/>
        </w:sectPr>
      </w:pPr>
      <w:r w:rsidRPr="00C01C50">
        <w:rPr>
          <w:rFonts w:ascii="標楷體" w:eastAsia="標楷體" w:hAnsi="標楷體" w:cs="標楷體"/>
          <w:color w:val="000000" w:themeColor="text1"/>
        </w:rPr>
        <w:t>針對現時未有無障礙通道</w:t>
      </w:r>
      <w:proofErr w:type="gramStart"/>
      <w:r w:rsidRPr="00C01C50">
        <w:rPr>
          <w:rFonts w:ascii="標楷體" w:eastAsia="標楷體" w:hAnsi="標楷體" w:cs="標楷體"/>
          <w:color w:val="000000" w:themeColor="text1"/>
        </w:rPr>
        <w:t>接駁復康</w:t>
      </w:r>
      <w:proofErr w:type="gramEnd"/>
      <w:r w:rsidRPr="00C01C50">
        <w:rPr>
          <w:rFonts w:ascii="標楷體" w:eastAsia="標楷體" w:hAnsi="標楷體" w:cs="標楷體"/>
          <w:color w:val="000000" w:themeColor="text1"/>
        </w:rPr>
        <w:t>機構與大型</w:t>
      </w:r>
      <w:proofErr w:type="gramStart"/>
      <w:r w:rsidRPr="00C01C50">
        <w:rPr>
          <w:rFonts w:ascii="標楷體" w:eastAsia="標楷體" w:hAnsi="標楷體" w:cs="標楷體"/>
          <w:color w:val="000000" w:themeColor="text1"/>
        </w:rPr>
        <w:t>屋苑的港鐵</w:t>
      </w:r>
      <w:proofErr w:type="gramEnd"/>
      <w:r w:rsidRPr="00C01C50">
        <w:rPr>
          <w:rFonts w:ascii="標楷體" w:eastAsia="標楷體" w:hAnsi="標楷體" w:cs="標楷體"/>
          <w:color w:val="000000" w:themeColor="text1"/>
        </w:rPr>
        <w:t>站（如藍田站），以及設有多個出口但僅有一個出口設站外升降機</w:t>
      </w:r>
      <w:proofErr w:type="gramStart"/>
      <w:r w:rsidRPr="00C01C50">
        <w:rPr>
          <w:rFonts w:ascii="標楷體" w:eastAsia="標楷體" w:hAnsi="標楷體" w:cs="標楷體"/>
          <w:color w:val="000000" w:themeColor="text1"/>
        </w:rPr>
        <w:t>的港鐵站</w:t>
      </w:r>
      <w:proofErr w:type="gramEnd"/>
      <w:r w:rsidRPr="00C01C50">
        <w:rPr>
          <w:rFonts w:ascii="標楷體" w:eastAsia="標楷體" w:hAnsi="標楷體" w:cs="標楷體"/>
          <w:color w:val="000000" w:themeColor="text1"/>
        </w:rPr>
        <w:t>（如中環站、銅鑼灣站），</w:t>
      </w:r>
      <w:proofErr w:type="gramStart"/>
      <w:r w:rsidRPr="00C01C50">
        <w:rPr>
          <w:rFonts w:ascii="標楷體" w:eastAsia="標楷體" w:hAnsi="標楷體" w:cs="標楷體"/>
          <w:b/>
          <w:bCs/>
          <w:color w:val="000000" w:themeColor="text1"/>
        </w:rPr>
        <w:t>與港鐵研究</w:t>
      </w:r>
      <w:proofErr w:type="gramEnd"/>
      <w:r w:rsidRPr="00C01C50">
        <w:rPr>
          <w:rFonts w:ascii="標楷體" w:eastAsia="標楷體" w:hAnsi="標楷體" w:cs="標楷體"/>
          <w:b/>
          <w:bCs/>
          <w:color w:val="000000" w:themeColor="text1"/>
        </w:rPr>
        <w:t>加建站外升降機的可行性，並制定執行時間表，務求長遠以縮短殘疾人士出行時所需的時間</w:t>
      </w:r>
      <w:r w:rsidRPr="00C01C50">
        <w:rPr>
          <w:rFonts w:ascii="標楷體" w:eastAsia="標楷體" w:hAnsi="標楷體" w:cs="標楷體"/>
          <w:color w:val="000000" w:themeColor="text1"/>
        </w:rPr>
        <w:t>。</w:t>
      </w:r>
    </w:p>
    <w:p w14:paraId="1BF9D75E" w14:textId="77777777" w:rsidR="00EB79C3" w:rsidRPr="00C01C50" w:rsidRDefault="00000000">
      <w:pPr>
        <w:widowControl/>
        <w:jc w:val="center"/>
        <w:rPr>
          <w:rFonts w:ascii="標楷體" w:eastAsia="標楷體" w:hAnsi="標楷體" w:cs="標楷體"/>
          <w:color w:val="000000" w:themeColor="text1"/>
        </w:rPr>
      </w:pPr>
      <w:r w:rsidRPr="00C01C50">
        <w:rPr>
          <w:rFonts w:ascii="標楷體" w:eastAsia="標楷體" w:hAnsi="標楷體" w:cs="標楷體"/>
          <w:b/>
          <w:bCs/>
          <w:color w:val="000000" w:themeColor="text1"/>
        </w:rPr>
        <w:lastRenderedPageBreak/>
        <w:t>（3）殘疾人士就業及培訓支援</w:t>
      </w:r>
    </w:p>
    <w:p w14:paraId="5AC802F8" w14:textId="77777777" w:rsidR="00EB79C3" w:rsidRPr="00C01C50" w:rsidRDefault="00000000">
      <w:pPr>
        <w:widowControl/>
        <w:spacing w:before="240" w:after="240"/>
        <w:ind w:firstLine="496"/>
        <w:rPr>
          <w:rFonts w:ascii="標楷體" w:eastAsia="標楷體" w:hAnsi="標楷體" w:cs="標楷體"/>
          <w:color w:val="000000" w:themeColor="text1"/>
        </w:rPr>
      </w:pPr>
      <w:r w:rsidRPr="00C01C50">
        <w:rPr>
          <w:rFonts w:ascii="標楷體" w:eastAsia="標楷體" w:hAnsi="標楷體" w:cs="標楷體"/>
          <w:color w:val="000000" w:themeColor="text1"/>
        </w:rPr>
        <w:t>本會欣喜政府於去年推出多項「創業展才能」計劃的優化措施，有</w:t>
      </w:r>
      <w:proofErr w:type="gramStart"/>
      <w:r w:rsidRPr="00C01C50">
        <w:rPr>
          <w:rFonts w:ascii="標楷體" w:eastAsia="標楷體" w:hAnsi="標楷體" w:cs="標楷體"/>
          <w:color w:val="000000" w:themeColor="text1"/>
        </w:rPr>
        <w:t>助社企</w:t>
      </w:r>
      <w:proofErr w:type="gramEnd"/>
      <w:r w:rsidRPr="00C01C50">
        <w:rPr>
          <w:rFonts w:ascii="標楷體" w:eastAsia="標楷體" w:hAnsi="標楷體" w:cs="標楷體"/>
          <w:color w:val="000000" w:themeColor="text1"/>
        </w:rPr>
        <w:t>持續營運及聘用殘疾人士；同時，「有能者</w:t>
      </w:r>
      <w:proofErr w:type="gramStart"/>
      <w:r w:rsidRPr="00C01C50">
        <w:rPr>
          <w:rFonts w:ascii="標楷體" w:eastAsia="標楷體" w:hAnsi="標楷體" w:cs="標楷體"/>
          <w:color w:val="000000" w:themeColor="text1"/>
        </w:rPr>
        <w:t>‧</w:t>
      </w:r>
      <w:proofErr w:type="gramEnd"/>
      <w:r w:rsidRPr="00C01C50">
        <w:rPr>
          <w:rFonts w:ascii="標楷體" w:eastAsia="標楷體" w:hAnsi="標楷體" w:cs="標楷體"/>
          <w:color w:val="000000" w:themeColor="text1"/>
        </w:rPr>
        <w:t>聘之」共融招聘會的舉辦，亦為殘疾求職者與僱主提供了合適的配對平台。然而，隨著人工智能（AI）工具在職場的應用日益</w:t>
      </w:r>
      <w:proofErr w:type="gramStart"/>
      <w:r w:rsidRPr="00C01C50">
        <w:rPr>
          <w:rFonts w:ascii="標楷體" w:eastAsia="標楷體" w:hAnsi="標楷體" w:cs="標楷體"/>
          <w:color w:val="000000" w:themeColor="text1"/>
        </w:rPr>
        <w:t>普及，</w:t>
      </w:r>
      <w:proofErr w:type="gramEnd"/>
      <w:r w:rsidRPr="00C01C50">
        <w:rPr>
          <w:rFonts w:ascii="標楷體" w:eastAsia="標楷體" w:hAnsi="標楷體" w:cs="標楷體"/>
          <w:color w:val="000000" w:themeColor="text1"/>
        </w:rPr>
        <w:t>這本為改善殘疾人士就業的契機，惟目前坊間相關技術課程普遍缺乏針對殘疾人士的學習調適，致使有意報讀增值者缺乏合適渠道。</w:t>
      </w:r>
    </w:p>
    <w:p w14:paraId="4626CB6B" w14:textId="77777777" w:rsidR="00EB79C3" w:rsidRPr="00C01C50" w:rsidRDefault="00000000">
      <w:pPr>
        <w:widowControl/>
        <w:spacing w:before="240" w:after="240"/>
        <w:ind w:firstLine="496"/>
        <w:rPr>
          <w:rFonts w:ascii="標楷體" w:eastAsia="標楷體" w:hAnsi="標楷體" w:cs="標楷體"/>
          <w:color w:val="000000" w:themeColor="text1"/>
        </w:rPr>
      </w:pPr>
      <w:r w:rsidRPr="00C01C50">
        <w:rPr>
          <w:rFonts w:ascii="標楷體" w:eastAsia="標楷體" w:hAnsi="標楷體" w:cs="標楷體"/>
          <w:color w:val="000000" w:themeColor="text1"/>
        </w:rPr>
        <w:t>為對接國家「十五五」規劃中「有序</w:t>
      </w:r>
      <w:proofErr w:type="gramStart"/>
      <w:r w:rsidRPr="00C01C50">
        <w:rPr>
          <w:rFonts w:ascii="標楷體" w:eastAsia="標楷體" w:hAnsi="標楷體" w:cs="標楷體"/>
          <w:color w:val="000000" w:themeColor="text1"/>
        </w:rPr>
        <w:t>推動數智技術</w:t>
      </w:r>
      <w:proofErr w:type="gramEnd"/>
      <w:r w:rsidRPr="00C01C50">
        <w:rPr>
          <w:rFonts w:ascii="標楷體" w:eastAsia="標楷體" w:hAnsi="標楷體" w:cs="標楷體"/>
          <w:color w:val="000000" w:themeColor="text1"/>
        </w:rPr>
        <w:t>在助殘場景的應用」與「強化殘疾人就業幫扶」的政策方向，並配合香港五年規劃的智能化目標，本會建議政府積極協助殘疾人士善用 AI 工具</w:t>
      </w:r>
      <w:proofErr w:type="gramStart"/>
      <w:r w:rsidRPr="00C01C50">
        <w:rPr>
          <w:rFonts w:ascii="標楷體" w:eastAsia="標楷體" w:hAnsi="標楷體" w:cs="標楷體"/>
          <w:color w:val="000000" w:themeColor="text1"/>
        </w:rPr>
        <w:t>自我賦能</w:t>
      </w:r>
      <w:proofErr w:type="gramEnd"/>
      <w:r w:rsidRPr="00C01C50">
        <w:rPr>
          <w:rFonts w:ascii="標楷體" w:eastAsia="標楷體" w:hAnsi="標楷體" w:cs="標楷體"/>
          <w:color w:val="000000" w:themeColor="text1"/>
        </w:rPr>
        <w:t>，避免其與一般求職者之間的「AI 鴻溝」日益擴大。同時，順應數據化應用趨勢，建議政府整合現有殘疾就業政策數據，精</w:t>
      </w:r>
      <w:proofErr w:type="gramStart"/>
      <w:r w:rsidRPr="00C01C50">
        <w:rPr>
          <w:rFonts w:ascii="標楷體" w:eastAsia="標楷體" w:hAnsi="標楷體" w:cs="標楷體"/>
          <w:color w:val="000000" w:themeColor="text1"/>
        </w:rPr>
        <w:t>準</w:t>
      </w:r>
      <w:proofErr w:type="gramEnd"/>
      <w:r w:rsidRPr="00C01C50">
        <w:rPr>
          <w:rFonts w:ascii="標楷體" w:eastAsia="標楷體" w:hAnsi="標楷體" w:cs="標楷體"/>
          <w:color w:val="000000" w:themeColor="text1"/>
        </w:rPr>
        <w:t>分析未來五年最適合殘疾人士發展的行業。以此數據為導向，為殘疾人士的長遠就業、政策支援及課程開辦建構科學化藍圖，確保政策資源得以精</w:t>
      </w:r>
      <w:proofErr w:type="gramStart"/>
      <w:r w:rsidRPr="00C01C50">
        <w:rPr>
          <w:rFonts w:ascii="標楷體" w:eastAsia="標楷體" w:hAnsi="標楷體" w:cs="標楷體"/>
          <w:color w:val="000000" w:themeColor="text1"/>
        </w:rPr>
        <w:t>準</w:t>
      </w:r>
      <w:proofErr w:type="gramEnd"/>
      <w:r w:rsidRPr="00C01C50">
        <w:rPr>
          <w:rFonts w:ascii="標楷體" w:eastAsia="標楷體" w:hAnsi="標楷體" w:cs="標楷體"/>
          <w:color w:val="000000" w:themeColor="text1"/>
        </w:rPr>
        <w:t>投放。因此，本會提出下列建議：</w:t>
      </w:r>
    </w:p>
    <w:p w14:paraId="5956B437" w14:textId="77777777" w:rsidR="00EB79C3" w:rsidRPr="00C01C50" w:rsidRDefault="00000000">
      <w:pPr>
        <w:widowControl/>
        <w:rPr>
          <w:rFonts w:ascii="標楷體" w:eastAsia="標楷體" w:hAnsi="標楷體" w:cs="標楷體"/>
          <w:color w:val="000000" w:themeColor="text1"/>
          <w:u w:val="single"/>
        </w:rPr>
      </w:pPr>
      <w:r w:rsidRPr="00C01C50">
        <w:rPr>
          <w:rFonts w:ascii="標楷體" w:eastAsia="標楷體" w:hAnsi="標楷體" w:cs="標楷體"/>
          <w:color w:val="000000" w:themeColor="text1"/>
          <w:u w:val="single"/>
        </w:rPr>
        <w:t>充份利用智能化趨勢為殘疾人士賦能</w:t>
      </w:r>
    </w:p>
    <w:p w14:paraId="6E4C94D8" w14:textId="77777777" w:rsidR="00EB79C3" w:rsidRPr="00C01C50" w:rsidRDefault="00000000">
      <w:pPr>
        <w:widowControl/>
        <w:numPr>
          <w:ilvl w:val="0"/>
          <w:numId w:val="21"/>
        </w:numPr>
        <w:rPr>
          <w:rFonts w:ascii="標楷體" w:eastAsia="標楷體" w:hAnsi="標楷體" w:cs="標楷體"/>
          <w:color w:val="000000" w:themeColor="text1"/>
        </w:rPr>
      </w:pPr>
      <w:r w:rsidRPr="00C01C50">
        <w:rPr>
          <w:rFonts w:ascii="標楷體" w:eastAsia="標楷體" w:hAnsi="標楷體" w:cs="標楷體"/>
          <w:b/>
          <w:bCs/>
          <w:color w:val="000000" w:themeColor="text1"/>
        </w:rPr>
        <w:t>推出提供短期 AI 工具課程調適的計劃</w:t>
      </w:r>
      <w:r w:rsidRPr="00C01C50">
        <w:rPr>
          <w:rFonts w:ascii="標楷體" w:eastAsia="標楷體" w:hAnsi="標楷體" w:cs="標楷體"/>
          <w:color w:val="000000" w:themeColor="text1"/>
        </w:rPr>
        <w:t>，為有意修讀相關課程的殘疾人士提供合理調適與支援，有效提升其職場競爭力。</w:t>
      </w:r>
    </w:p>
    <w:p w14:paraId="0AF70DC5" w14:textId="77777777" w:rsidR="00EB79C3" w:rsidRPr="00C01C50" w:rsidRDefault="00EB79C3">
      <w:pPr>
        <w:widowControl/>
        <w:ind w:left="480"/>
        <w:rPr>
          <w:rFonts w:ascii="標楷體" w:eastAsia="標楷體" w:hAnsi="標楷體" w:cs="標楷體"/>
          <w:color w:val="000000" w:themeColor="text1"/>
        </w:rPr>
      </w:pPr>
    </w:p>
    <w:p w14:paraId="42D7F63D" w14:textId="77777777" w:rsidR="00EB79C3" w:rsidRPr="00C01C50" w:rsidRDefault="00000000">
      <w:pPr>
        <w:widowControl/>
        <w:numPr>
          <w:ilvl w:val="0"/>
          <w:numId w:val="13"/>
        </w:numPr>
        <w:rPr>
          <w:rFonts w:ascii="標楷體" w:eastAsia="標楷體" w:hAnsi="標楷體" w:cs="標楷體"/>
          <w:color w:val="000000" w:themeColor="text1"/>
        </w:rPr>
      </w:pPr>
      <w:r w:rsidRPr="00C01C50">
        <w:rPr>
          <w:rFonts w:ascii="標楷體" w:eastAsia="標楷體" w:hAnsi="標楷體" w:cs="標楷體"/>
          <w:b/>
          <w:bCs/>
          <w:color w:val="000000" w:themeColor="text1"/>
        </w:rPr>
        <w:t>擴展「殘疾僱員支援計劃」資助範圍</w:t>
      </w:r>
      <w:r w:rsidRPr="00C01C50">
        <w:rPr>
          <w:rFonts w:ascii="標楷體" w:eastAsia="標楷體" w:hAnsi="標楷體" w:cs="標楷體"/>
          <w:color w:val="000000" w:themeColor="text1"/>
        </w:rPr>
        <w:t>，將購置輔助儀器及改裝</w:t>
      </w:r>
      <w:proofErr w:type="gramStart"/>
      <w:r w:rsidRPr="00C01C50">
        <w:rPr>
          <w:rFonts w:ascii="標楷體" w:eastAsia="標楷體" w:hAnsi="標楷體" w:cs="標楷體"/>
          <w:color w:val="000000" w:themeColor="text1"/>
        </w:rPr>
        <w:t>工作間的資助</w:t>
      </w:r>
      <w:proofErr w:type="gramEnd"/>
      <w:r w:rsidRPr="00C01C50">
        <w:rPr>
          <w:rFonts w:ascii="標楷體" w:eastAsia="標楷體" w:hAnsi="標楷體" w:cs="標楷體"/>
          <w:color w:val="000000" w:themeColor="text1"/>
        </w:rPr>
        <w:t>，擴展至購買 AI 輔助工具，協助殘疾僱員在工作場所執行職務並提升工作效率。</w:t>
      </w:r>
    </w:p>
    <w:p w14:paraId="720E5A6C" w14:textId="77777777" w:rsidR="00EB79C3" w:rsidRPr="00C01C50" w:rsidRDefault="00EB79C3">
      <w:pPr>
        <w:widowControl/>
        <w:ind w:left="480"/>
        <w:rPr>
          <w:rFonts w:ascii="標楷體" w:eastAsia="標楷體" w:hAnsi="標楷體" w:cs="標楷體"/>
          <w:color w:val="000000" w:themeColor="text1"/>
        </w:rPr>
      </w:pPr>
    </w:p>
    <w:p w14:paraId="2BAFE064" w14:textId="77777777" w:rsidR="00EB79C3" w:rsidRPr="00C01C50" w:rsidRDefault="00000000">
      <w:pPr>
        <w:widowControl/>
        <w:rPr>
          <w:rFonts w:ascii="標楷體" w:eastAsia="標楷體" w:hAnsi="標楷體" w:cs="標楷體"/>
          <w:color w:val="000000" w:themeColor="text1"/>
          <w:u w:val="single"/>
        </w:rPr>
      </w:pPr>
      <w:r w:rsidRPr="00C01C50">
        <w:rPr>
          <w:rFonts w:ascii="標楷體" w:eastAsia="標楷體" w:hAnsi="標楷體" w:cs="標楷體"/>
          <w:color w:val="000000" w:themeColor="text1"/>
          <w:u w:val="single"/>
        </w:rPr>
        <w:t>積極推動私營市場聘用殘疾人士</w:t>
      </w:r>
    </w:p>
    <w:p w14:paraId="1540193F" w14:textId="77777777" w:rsidR="00EB79C3" w:rsidRPr="00C01C50" w:rsidRDefault="00000000">
      <w:pPr>
        <w:widowControl/>
        <w:numPr>
          <w:ilvl w:val="0"/>
          <w:numId w:val="6"/>
        </w:numPr>
        <w:jc w:val="both"/>
        <w:rPr>
          <w:rFonts w:ascii="標楷體" w:eastAsia="標楷體" w:hAnsi="標楷體" w:cs="標楷體"/>
          <w:color w:val="000000" w:themeColor="text1"/>
        </w:rPr>
      </w:pPr>
      <w:r w:rsidRPr="00C01C50">
        <w:rPr>
          <w:rFonts w:ascii="標楷體" w:eastAsia="標楷體" w:hAnsi="標楷體" w:cs="標楷體"/>
          <w:color w:val="000000" w:themeColor="text1"/>
        </w:rPr>
        <w:t>為願意聘用殘疾人士的公司提供</w:t>
      </w:r>
      <w:r w:rsidRPr="00C01C50">
        <w:rPr>
          <w:rFonts w:ascii="標楷體" w:eastAsia="標楷體" w:hAnsi="標楷體" w:cs="標楷體"/>
          <w:b/>
          <w:bCs/>
          <w:color w:val="000000" w:themeColor="text1"/>
        </w:rPr>
        <w:t>稅務優惠</w:t>
      </w:r>
      <w:r w:rsidRPr="00C01C50">
        <w:rPr>
          <w:rFonts w:ascii="標楷體" w:eastAsia="標楷體" w:hAnsi="標楷體" w:cs="標楷體"/>
          <w:color w:val="000000" w:themeColor="text1"/>
        </w:rPr>
        <w:t>，以增加聘用誘因。</w:t>
      </w:r>
    </w:p>
    <w:p w14:paraId="57155336" w14:textId="77777777" w:rsidR="00EB79C3" w:rsidRPr="00C01C50" w:rsidRDefault="00EB79C3">
      <w:pPr>
        <w:widowControl/>
        <w:ind w:left="480"/>
        <w:jc w:val="both"/>
        <w:rPr>
          <w:rFonts w:ascii="標楷體" w:eastAsia="標楷體" w:hAnsi="標楷體" w:cs="標楷體"/>
          <w:color w:val="000000" w:themeColor="text1"/>
        </w:rPr>
      </w:pPr>
    </w:p>
    <w:p w14:paraId="682629D6" w14:textId="77777777" w:rsidR="00EB79C3" w:rsidRPr="00C01C50" w:rsidRDefault="00000000">
      <w:pPr>
        <w:widowControl/>
        <w:numPr>
          <w:ilvl w:val="0"/>
          <w:numId w:val="16"/>
        </w:numPr>
        <w:jc w:val="both"/>
        <w:rPr>
          <w:rFonts w:ascii="標楷體" w:eastAsia="標楷體" w:hAnsi="標楷體" w:cs="標楷體"/>
          <w:color w:val="000000" w:themeColor="text1"/>
        </w:rPr>
      </w:pPr>
      <w:r w:rsidRPr="00C01C50">
        <w:rPr>
          <w:rFonts w:ascii="標楷體" w:eastAsia="標楷體" w:hAnsi="標楷體" w:cs="標楷體"/>
          <w:b/>
          <w:bCs/>
          <w:color w:val="000000" w:themeColor="text1"/>
        </w:rPr>
        <w:t>積極推動針對量化ESG社會方面指標</w:t>
      </w:r>
      <w:r w:rsidRPr="00C01C50">
        <w:rPr>
          <w:rFonts w:ascii="標楷體" w:eastAsia="標楷體" w:hAnsi="標楷體" w:cs="標楷體"/>
          <w:color w:val="000000" w:themeColor="text1"/>
        </w:rPr>
        <w:t>：</w:t>
      </w:r>
    </w:p>
    <w:p w14:paraId="1B1FF42D" w14:textId="77777777" w:rsidR="00EB79C3" w:rsidRPr="00C01C50" w:rsidRDefault="00000000">
      <w:pPr>
        <w:widowControl/>
        <w:numPr>
          <w:ilvl w:val="1"/>
          <w:numId w:val="16"/>
        </w:numPr>
        <w:jc w:val="both"/>
        <w:rPr>
          <w:rFonts w:ascii="標楷體" w:eastAsia="標楷體" w:hAnsi="標楷體" w:cs="標楷體"/>
          <w:color w:val="000000" w:themeColor="text1"/>
        </w:rPr>
      </w:pPr>
      <w:r w:rsidRPr="00C01C50">
        <w:rPr>
          <w:rFonts w:ascii="標楷體" w:eastAsia="標楷體" w:hAnsi="標楷體" w:cs="標楷體"/>
          <w:color w:val="000000" w:themeColor="text1"/>
        </w:rPr>
        <w:t>推動業界制定針對社會指標方面的可衡量措施指標，以配合日益制度化的ESG披露框架，例如定立明確的無障礙設施改善進度、制定員工的共融培訓指標，以及聘用殘疾人士目標等，以系統化地向公眾展現真實成效；</w:t>
      </w:r>
    </w:p>
    <w:p w14:paraId="33E7185F" w14:textId="77777777" w:rsidR="00EB79C3" w:rsidRPr="00C01C50" w:rsidRDefault="00000000">
      <w:pPr>
        <w:widowControl/>
        <w:numPr>
          <w:ilvl w:val="1"/>
          <w:numId w:val="16"/>
        </w:numPr>
        <w:jc w:val="both"/>
        <w:rPr>
          <w:rFonts w:ascii="標楷體" w:eastAsia="標楷體" w:hAnsi="標楷體" w:cs="標楷體"/>
          <w:color w:val="000000" w:themeColor="text1"/>
        </w:rPr>
      </w:pPr>
      <w:r w:rsidRPr="00C01C50">
        <w:rPr>
          <w:rFonts w:ascii="標楷體" w:eastAsia="標楷體" w:hAnsi="標楷體" w:cs="標楷體"/>
          <w:color w:val="000000" w:themeColor="text1"/>
        </w:rPr>
        <w:t>進行對「可衡量的社會措施指標」的推廣教育，培養企業對社會指標方面的重視；</w:t>
      </w:r>
    </w:p>
    <w:p w14:paraId="439ECCED" w14:textId="77777777" w:rsidR="00EB79C3" w:rsidRPr="00C01C50" w:rsidRDefault="00000000">
      <w:pPr>
        <w:widowControl/>
        <w:numPr>
          <w:ilvl w:val="1"/>
          <w:numId w:val="16"/>
        </w:numPr>
        <w:jc w:val="both"/>
        <w:rPr>
          <w:rFonts w:ascii="標楷體" w:eastAsia="標楷體" w:hAnsi="標楷體" w:cs="標楷體"/>
          <w:color w:val="000000" w:themeColor="text1"/>
        </w:rPr>
      </w:pPr>
      <w:r w:rsidRPr="00C01C50">
        <w:rPr>
          <w:rFonts w:ascii="標楷體" w:eastAsia="標楷體" w:hAnsi="標楷體" w:cs="標楷體"/>
          <w:color w:val="000000" w:themeColor="text1"/>
        </w:rPr>
        <w:t>政府帶頭於公務員系統內實踐「可衡量的社會措施指標」，向私營市場作良好示範。</w:t>
      </w:r>
    </w:p>
    <w:p w14:paraId="3E2886D3" w14:textId="77777777" w:rsidR="00EB79C3" w:rsidRPr="00C01C50" w:rsidRDefault="00EB79C3">
      <w:pPr>
        <w:widowControl/>
        <w:ind w:left="960"/>
        <w:jc w:val="both"/>
        <w:rPr>
          <w:rFonts w:ascii="標楷體" w:eastAsia="標楷體" w:hAnsi="標楷體" w:cs="標楷體"/>
          <w:color w:val="000000" w:themeColor="text1"/>
        </w:rPr>
      </w:pPr>
    </w:p>
    <w:p w14:paraId="33C9279E" w14:textId="77777777" w:rsidR="00EB79C3" w:rsidRPr="00C01C50" w:rsidRDefault="00000000">
      <w:pPr>
        <w:widowControl/>
        <w:rPr>
          <w:rFonts w:ascii="標楷體" w:eastAsia="標楷體" w:hAnsi="標楷體" w:cs="標楷體"/>
          <w:color w:val="000000" w:themeColor="text1"/>
        </w:rPr>
      </w:pPr>
      <w:r w:rsidRPr="00C01C50">
        <w:rPr>
          <w:rFonts w:ascii="標楷體" w:eastAsia="標楷體" w:hAnsi="標楷體" w:cs="標楷體"/>
          <w:color w:val="000000" w:themeColor="text1"/>
          <w:u w:val="single"/>
        </w:rPr>
        <w:t>微調現有政策措施以提升資源使用效益</w:t>
      </w:r>
    </w:p>
    <w:p w14:paraId="47019F81" w14:textId="77777777" w:rsidR="00EB79C3" w:rsidRPr="00C01C50" w:rsidRDefault="00000000">
      <w:pPr>
        <w:widowControl/>
        <w:numPr>
          <w:ilvl w:val="0"/>
          <w:numId w:val="15"/>
        </w:numPr>
        <w:rPr>
          <w:rFonts w:ascii="標楷體" w:eastAsia="標楷體" w:hAnsi="標楷體" w:cs="標楷體"/>
          <w:color w:val="000000" w:themeColor="text1"/>
        </w:rPr>
      </w:pPr>
      <w:r w:rsidRPr="00C01C50">
        <w:rPr>
          <w:rFonts w:ascii="標楷體" w:eastAsia="標楷體" w:hAnsi="標楷體" w:cs="標楷體"/>
          <w:color w:val="000000" w:themeColor="text1"/>
        </w:rPr>
        <w:t>構建</w:t>
      </w:r>
      <w:r w:rsidRPr="00C01C50">
        <w:rPr>
          <w:rFonts w:ascii="標楷體" w:eastAsia="標楷體" w:hAnsi="標楷體" w:cs="標楷體"/>
          <w:b/>
          <w:bCs/>
          <w:color w:val="000000" w:themeColor="text1"/>
        </w:rPr>
        <w:t>「特設與融合並行」的就業支援網</w:t>
      </w:r>
      <w:r w:rsidRPr="00C01C50">
        <w:rPr>
          <w:rFonts w:ascii="標楷體" w:eastAsia="標楷體" w:hAnsi="標楷體" w:cs="標楷體"/>
          <w:color w:val="000000" w:themeColor="text1"/>
        </w:rPr>
        <w:t>，除專屬計劃外，將殘疾人士納入再就業、中高齡等各類主流就業計劃中，全方位釋放殘疾人士的勞動力。</w:t>
      </w:r>
    </w:p>
    <w:p w14:paraId="2451002A" w14:textId="77777777" w:rsidR="00EB79C3" w:rsidRPr="00C01C50" w:rsidRDefault="00EB79C3">
      <w:pPr>
        <w:widowControl/>
        <w:ind w:left="480"/>
        <w:rPr>
          <w:rFonts w:ascii="標楷體" w:eastAsia="標楷體" w:hAnsi="標楷體" w:cs="標楷體"/>
          <w:color w:val="000000" w:themeColor="text1"/>
        </w:rPr>
      </w:pPr>
    </w:p>
    <w:p w14:paraId="52801F1A" w14:textId="77777777" w:rsidR="00EB79C3" w:rsidRPr="00C01C50" w:rsidRDefault="00000000">
      <w:pPr>
        <w:widowControl/>
        <w:numPr>
          <w:ilvl w:val="0"/>
          <w:numId w:val="19"/>
        </w:numPr>
        <w:rPr>
          <w:rFonts w:ascii="標楷體" w:eastAsia="標楷體" w:hAnsi="標楷體" w:cs="標楷體"/>
          <w:color w:val="000000" w:themeColor="text1"/>
        </w:rPr>
      </w:pPr>
      <w:r w:rsidRPr="00C01C50">
        <w:rPr>
          <w:rFonts w:ascii="標楷體" w:eastAsia="標楷體" w:hAnsi="標楷體" w:cs="標楷體"/>
          <w:b/>
          <w:bCs/>
          <w:color w:val="000000" w:themeColor="text1"/>
        </w:rPr>
        <w:t>優化社會福利署「殘疾人士輔助就業培訓計劃」</w:t>
      </w:r>
      <w:r w:rsidRPr="00C01C50">
        <w:rPr>
          <w:rFonts w:ascii="標楷體" w:eastAsia="標楷體" w:hAnsi="標楷體" w:cs="標楷體"/>
          <w:color w:val="000000" w:themeColor="text1"/>
        </w:rPr>
        <w:t>（下稱「SET計劃」）：</w:t>
      </w:r>
    </w:p>
    <w:p w14:paraId="18360C1A" w14:textId="77777777" w:rsidR="00EB79C3" w:rsidRPr="00C01C50" w:rsidRDefault="00000000">
      <w:pPr>
        <w:widowControl/>
        <w:numPr>
          <w:ilvl w:val="1"/>
          <w:numId w:val="19"/>
        </w:numPr>
        <w:rPr>
          <w:rFonts w:ascii="標楷體" w:eastAsia="標楷體" w:hAnsi="標楷體" w:cs="標楷體"/>
          <w:color w:val="000000" w:themeColor="text1"/>
        </w:rPr>
      </w:pPr>
      <w:r w:rsidRPr="00C01C50">
        <w:rPr>
          <w:rFonts w:ascii="標楷體" w:eastAsia="標楷體" w:hAnsi="標楷體" w:cs="標楷體"/>
          <w:color w:val="000000" w:themeColor="text1"/>
        </w:rPr>
        <w:t>將「SET計劃」的僱員見習津貼及僱主補助金，分別調升至與勞工署的「就業展才能計劃」相若的水平，以對等誘因全面激活供求兩端，促進跨部門政策的協同與互補；</w:t>
      </w:r>
    </w:p>
    <w:p w14:paraId="6C7B0B3F" w14:textId="77777777" w:rsidR="00EB79C3" w:rsidRPr="00C01C50" w:rsidRDefault="00000000">
      <w:pPr>
        <w:widowControl/>
        <w:numPr>
          <w:ilvl w:val="1"/>
          <w:numId w:val="19"/>
        </w:numPr>
        <w:rPr>
          <w:rFonts w:ascii="標楷體" w:eastAsia="標楷體" w:hAnsi="標楷體" w:cs="標楷體"/>
          <w:color w:val="000000" w:themeColor="text1"/>
        </w:rPr>
      </w:pPr>
      <w:r w:rsidRPr="00C01C50">
        <w:rPr>
          <w:rFonts w:ascii="標楷體" w:eastAsia="標楷體" w:hAnsi="標楷體" w:cs="標楷體"/>
          <w:color w:val="000000" w:themeColor="text1"/>
        </w:rPr>
        <w:t>推出「殘疾青年就業津貼」，針對15至29歲的殘疾青年參加者，額外提供津貼及「青年技能提升補助」，以建立與鼓勵一般青年就業的「展翅青年就</w:t>
      </w:r>
      <w:r w:rsidRPr="00C01C50">
        <w:rPr>
          <w:rFonts w:ascii="標楷體" w:eastAsia="標楷體" w:hAnsi="標楷體" w:cs="標楷體"/>
          <w:color w:val="000000" w:themeColor="text1"/>
        </w:rPr>
        <w:lastRenderedPageBreak/>
        <w:t>業計劃」相若的誘因。同時，為僱主設立相應的補助安排，例如「青年殘疾僱主支援金」，以抵銷培訓及適應成本，鼓勵僱主更積極聘用及培育殘疾青年。此舉可同時激活供需兩端，吸引殘疾青年優先選擇參與「SET計劃」，並促進其更好地融入社會與勞動市場；</w:t>
      </w:r>
    </w:p>
    <w:p w14:paraId="476B6CDE" w14:textId="77777777" w:rsidR="00EB79C3" w:rsidRPr="00C01C50" w:rsidRDefault="00000000">
      <w:pPr>
        <w:widowControl/>
        <w:numPr>
          <w:ilvl w:val="1"/>
          <w:numId w:val="19"/>
        </w:numPr>
        <w:rPr>
          <w:rFonts w:ascii="標楷體" w:eastAsia="標楷體" w:hAnsi="標楷體" w:cs="標楷體"/>
          <w:color w:val="000000" w:themeColor="text1"/>
        </w:rPr>
      </w:pPr>
      <w:r w:rsidRPr="00C01C50">
        <w:rPr>
          <w:rFonts w:ascii="標楷體" w:eastAsia="標楷體" w:hAnsi="標楷體" w:cs="標楷體"/>
          <w:color w:val="000000" w:themeColor="text1"/>
        </w:rPr>
        <w:t>建立個案互通機制，在勞工處「每月求職者推</w:t>
      </w:r>
      <w:proofErr w:type="gramStart"/>
      <w:r w:rsidRPr="00C01C50">
        <w:rPr>
          <w:rFonts w:ascii="標楷體" w:eastAsia="標楷體" w:hAnsi="標楷體" w:cs="標楷體"/>
          <w:color w:val="000000" w:themeColor="text1"/>
        </w:rPr>
        <w:t>介</w:t>
      </w:r>
      <w:proofErr w:type="gramEnd"/>
      <w:r w:rsidRPr="00C01C50">
        <w:rPr>
          <w:rFonts w:ascii="標楷體" w:eastAsia="標楷體" w:hAnsi="標楷體" w:cs="標楷體"/>
          <w:color w:val="000000" w:themeColor="text1"/>
        </w:rPr>
        <w:t>」推</w:t>
      </w:r>
      <w:proofErr w:type="gramStart"/>
      <w:r w:rsidRPr="00C01C50">
        <w:rPr>
          <w:rFonts w:ascii="標楷體" w:eastAsia="標楷體" w:hAnsi="標楷體" w:cs="標楷體"/>
          <w:color w:val="000000" w:themeColor="text1"/>
        </w:rPr>
        <w:t>介</w:t>
      </w:r>
      <w:proofErr w:type="gramEnd"/>
      <w:r w:rsidRPr="00C01C50">
        <w:rPr>
          <w:rFonts w:ascii="標楷體" w:eastAsia="標楷體" w:hAnsi="標楷體" w:cs="標楷體"/>
          <w:color w:val="000000" w:themeColor="text1"/>
        </w:rPr>
        <w:t>頁面中加入「SET計劃」名單以提高曝光率，並將需長期跟進的個案轉</w:t>
      </w:r>
      <w:proofErr w:type="gramStart"/>
      <w:r w:rsidRPr="00C01C50">
        <w:rPr>
          <w:rFonts w:ascii="標楷體" w:eastAsia="標楷體" w:hAnsi="標楷體" w:cs="標楷體"/>
          <w:color w:val="000000" w:themeColor="text1"/>
        </w:rPr>
        <w:t>介</w:t>
      </w:r>
      <w:proofErr w:type="gramEnd"/>
      <w:r w:rsidRPr="00C01C50">
        <w:rPr>
          <w:rFonts w:ascii="標楷體" w:eastAsia="標楷體" w:hAnsi="標楷體" w:cs="標楷體"/>
          <w:color w:val="000000" w:themeColor="text1"/>
        </w:rPr>
        <w:t>至「SET計劃」以銜接不少於12個月的入職後支援；</w:t>
      </w:r>
    </w:p>
    <w:p w14:paraId="7F3C5996" w14:textId="77777777" w:rsidR="00EB79C3" w:rsidRPr="00C01C50" w:rsidRDefault="00000000">
      <w:pPr>
        <w:widowControl/>
        <w:numPr>
          <w:ilvl w:val="1"/>
          <w:numId w:val="19"/>
        </w:numPr>
        <w:rPr>
          <w:rFonts w:ascii="標楷體" w:eastAsia="標楷體" w:hAnsi="標楷體" w:cs="標楷體"/>
          <w:color w:val="000000" w:themeColor="text1"/>
        </w:rPr>
      </w:pPr>
      <w:r w:rsidRPr="00C01C50">
        <w:rPr>
          <w:rFonts w:ascii="標楷體" w:eastAsia="標楷體" w:hAnsi="標楷體" w:cs="標楷體"/>
          <w:color w:val="000000" w:themeColor="text1"/>
        </w:rPr>
        <w:t>將勞工及福利局與勞工處舉辦的「有能者</w:t>
      </w:r>
      <w:proofErr w:type="gramStart"/>
      <w:r w:rsidRPr="00C01C50">
        <w:rPr>
          <w:rFonts w:ascii="標楷體" w:eastAsia="標楷體" w:hAnsi="標楷體" w:cs="標楷體"/>
          <w:color w:val="000000" w:themeColor="text1"/>
        </w:rPr>
        <w:t>‧</w:t>
      </w:r>
      <w:proofErr w:type="gramEnd"/>
      <w:r w:rsidRPr="00C01C50">
        <w:rPr>
          <w:rFonts w:ascii="標楷體" w:eastAsia="標楷體" w:hAnsi="標楷體" w:cs="標楷體"/>
          <w:color w:val="000000" w:themeColor="text1"/>
        </w:rPr>
        <w:t>聘之」共融招聘會定為恆常項目，定期為殘疾求職者及僱主提供平台作配對。</w:t>
      </w:r>
    </w:p>
    <w:p w14:paraId="4945C0A2" w14:textId="77777777" w:rsidR="00EB79C3" w:rsidRPr="00C01C50" w:rsidRDefault="00EB79C3">
      <w:pPr>
        <w:widowControl/>
        <w:ind w:left="960"/>
        <w:rPr>
          <w:rFonts w:ascii="標楷體" w:eastAsia="標楷體" w:hAnsi="標楷體" w:cs="標楷體"/>
          <w:color w:val="000000" w:themeColor="text1"/>
        </w:rPr>
      </w:pPr>
    </w:p>
    <w:p w14:paraId="13FBEB7C" w14:textId="77777777" w:rsidR="00EB79C3" w:rsidRPr="00C01C50" w:rsidRDefault="00000000">
      <w:pPr>
        <w:widowControl/>
        <w:rPr>
          <w:rFonts w:ascii="標楷體" w:eastAsia="標楷體" w:hAnsi="標楷體" w:cs="標楷體"/>
          <w:color w:val="000000" w:themeColor="text1"/>
          <w:u w:val="single"/>
        </w:rPr>
      </w:pPr>
      <w:r w:rsidRPr="00C01C50">
        <w:rPr>
          <w:rFonts w:ascii="標楷體" w:eastAsia="標楷體" w:hAnsi="標楷體" w:cs="標楷體"/>
          <w:color w:val="000000" w:themeColor="text1"/>
          <w:u w:val="single"/>
        </w:rPr>
        <w:t>以數據為本、雙軌並行分析未來五年最適合殘疾人士發展的行業</w:t>
      </w:r>
    </w:p>
    <w:p w14:paraId="4285A55A" w14:textId="77777777" w:rsidR="00EB79C3" w:rsidRPr="00C01C50" w:rsidRDefault="00000000">
      <w:pPr>
        <w:widowControl/>
        <w:numPr>
          <w:ilvl w:val="0"/>
          <w:numId w:val="24"/>
        </w:numPr>
        <w:rPr>
          <w:color w:val="000000" w:themeColor="text1"/>
        </w:rPr>
      </w:pPr>
      <w:r w:rsidRPr="00C01C50">
        <w:rPr>
          <w:rFonts w:ascii="標楷體" w:eastAsia="標楷體" w:hAnsi="標楷體" w:cs="標楷體"/>
          <w:b/>
          <w:bCs/>
          <w:color w:val="000000" w:themeColor="text1"/>
        </w:rPr>
        <w:t>五年內整合現行就業輔導數據設立「殘疾人就業供需資料庫」</w:t>
      </w:r>
      <w:r w:rsidRPr="00C01C50">
        <w:rPr>
          <w:rFonts w:ascii="標楷體" w:eastAsia="標楷體" w:hAnsi="標楷體" w:cs="標楷體"/>
          <w:color w:val="000000" w:themeColor="text1"/>
        </w:rPr>
        <w:t>（內在供需分析）。資料庫由勞工處「就業展才能計劃」及社會福利署「殘疾人士輔助就業培訓計劃」（SET計劃）抽取數據，按殘疾人士的「學歷水平」與「殘疾類別」收集動態數據，進行交叉分析，研究及恆常監察未來五年內最適合其發展的行業。</w:t>
      </w:r>
    </w:p>
    <w:p w14:paraId="1C25351B" w14:textId="77777777" w:rsidR="00EB79C3" w:rsidRPr="00C01C50" w:rsidRDefault="00EB79C3">
      <w:pPr>
        <w:widowControl/>
        <w:spacing w:line="276" w:lineRule="auto"/>
        <w:ind w:left="480"/>
        <w:rPr>
          <w:rFonts w:ascii="標楷體" w:eastAsia="標楷體" w:hAnsi="標楷體" w:cs="標楷體"/>
          <w:color w:val="000000" w:themeColor="text1"/>
          <w:sz w:val="22"/>
          <w:szCs w:val="22"/>
        </w:rPr>
      </w:pPr>
    </w:p>
    <w:p w14:paraId="5A730441" w14:textId="77777777" w:rsidR="00EB79C3" w:rsidRPr="00C01C50" w:rsidRDefault="00000000">
      <w:pPr>
        <w:widowControl/>
        <w:numPr>
          <w:ilvl w:val="0"/>
          <w:numId w:val="26"/>
        </w:numPr>
        <w:rPr>
          <w:rFonts w:ascii="標楷體" w:eastAsia="標楷體" w:hAnsi="標楷體" w:cs="標楷體"/>
          <w:color w:val="000000" w:themeColor="text1"/>
        </w:rPr>
      </w:pPr>
      <w:r w:rsidRPr="00C01C50">
        <w:rPr>
          <w:rFonts w:ascii="標楷體" w:eastAsia="標楷體" w:hAnsi="標楷體" w:cs="標楷體"/>
          <w:b/>
          <w:bCs/>
          <w:color w:val="000000" w:themeColor="text1"/>
        </w:rPr>
        <w:t>於主流人力調查注入「殘疾人士視覺」</w:t>
      </w:r>
      <w:r w:rsidRPr="00C01C50">
        <w:rPr>
          <w:rFonts w:ascii="標楷體" w:eastAsia="標楷體" w:hAnsi="標楷體" w:cs="標楷體"/>
          <w:color w:val="000000" w:themeColor="text1"/>
        </w:rPr>
        <w:t>（外在環境篩選），包括在</w:t>
      </w:r>
      <w:proofErr w:type="gramStart"/>
      <w:r w:rsidRPr="00C01C50">
        <w:rPr>
          <w:rFonts w:ascii="標楷體" w:eastAsia="標楷體" w:hAnsi="標楷體" w:cs="標楷體"/>
          <w:color w:val="000000" w:themeColor="text1"/>
        </w:rPr>
        <w:t>勞福局</w:t>
      </w:r>
      <w:proofErr w:type="gramEnd"/>
      <w:r w:rsidRPr="00C01C50">
        <w:rPr>
          <w:rFonts w:ascii="標楷體" w:eastAsia="標楷體" w:hAnsi="標楷體" w:cs="標楷體"/>
          <w:color w:val="000000" w:themeColor="text1"/>
        </w:rPr>
        <w:t>《人力推算報告》及職業訓練局《人力調查》等現行機制中，加入「殘疾人士視覺」。全面評估各行各業是否適合推行「</w:t>
      </w:r>
      <w:proofErr w:type="gramStart"/>
      <w:r w:rsidRPr="00C01C50">
        <w:rPr>
          <w:rFonts w:ascii="標楷體" w:eastAsia="標楷體" w:hAnsi="標楷體" w:cs="標楷體"/>
          <w:color w:val="000000" w:themeColor="text1"/>
        </w:rPr>
        <w:t>遙距辦公</w:t>
      </w:r>
      <w:proofErr w:type="gramEnd"/>
      <w:r w:rsidRPr="00C01C50">
        <w:rPr>
          <w:rFonts w:ascii="標楷體" w:eastAsia="標楷體" w:hAnsi="標楷體" w:cs="標楷體"/>
          <w:color w:val="000000" w:themeColor="text1"/>
        </w:rPr>
        <w:t>」和「彈性工時」，並了解不同職位在體能和感官能力方面的具體要求。藉此篩選並發掘具發展潛力的行業，以精</w:t>
      </w:r>
      <w:proofErr w:type="gramStart"/>
      <w:r w:rsidRPr="00C01C50">
        <w:rPr>
          <w:rFonts w:ascii="標楷體" w:eastAsia="標楷體" w:hAnsi="標楷體" w:cs="標楷體"/>
          <w:color w:val="000000" w:themeColor="text1"/>
        </w:rPr>
        <w:t>準</w:t>
      </w:r>
      <w:proofErr w:type="gramEnd"/>
      <w:r w:rsidRPr="00C01C50">
        <w:rPr>
          <w:rFonts w:ascii="標楷體" w:eastAsia="標楷體" w:hAnsi="標楷體" w:cs="標楷體"/>
          <w:color w:val="000000" w:themeColor="text1"/>
        </w:rPr>
        <w:t>釋放本港潛在的殘疾勞動力。</w:t>
      </w:r>
    </w:p>
    <w:p w14:paraId="09771B57" w14:textId="77777777" w:rsidR="00EB79C3" w:rsidRPr="00C01C50" w:rsidRDefault="00EB79C3">
      <w:pPr>
        <w:widowControl/>
        <w:spacing w:line="276" w:lineRule="auto"/>
        <w:ind w:left="480"/>
        <w:rPr>
          <w:rFonts w:ascii="標楷體" w:eastAsia="標楷體" w:hAnsi="標楷體" w:cs="標楷體"/>
          <w:color w:val="000000" w:themeColor="text1"/>
          <w:sz w:val="22"/>
          <w:szCs w:val="22"/>
        </w:rPr>
      </w:pPr>
    </w:p>
    <w:p w14:paraId="39609765" w14:textId="77777777" w:rsidR="00EB79C3" w:rsidRPr="00C01C50" w:rsidRDefault="00000000">
      <w:pPr>
        <w:widowControl/>
        <w:jc w:val="both"/>
        <w:rPr>
          <w:rFonts w:ascii="標楷體" w:eastAsia="標楷體" w:hAnsi="標楷體" w:cs="標楷體"/>
          <w:color w:val="000000" w:themeColor="text1"/>
          <w:sz w:val="22"/>
          <w:szCs w:val="22"/>
        </w:rPr>
      </w:pPr>
      <w:r w:rsidRPr="00C01C50">
        <w:rPr>
          <w:rFonts w:ascii="標楷體" w:eastAsia="標楷體" w:hAnsi="標楷體" w:cs="標楷體"/>
          <w:color w:val="000000" w:themeColor="text1"/>
          <w:u w:val="single"/>
        </w:rPr>
        <w:t>以多元方式為殘疾人士創造工作機會</w:t>
      </w:r>
    </w:p>
    <w:p w14:paraId="499CDFC6" w14:textId="77777777" w:rsidR="00EB79C3" w:rsidRPr="00C01C50" w:rsidRDefault="00000000">
      <w:pPr>
        <w:widowControl/>
        <w:numPr>
          <w:ilvl w:val="0"/>
          <w:numId w:val="7"/>
        </w:numPr>
        <w:rPr>
          <w:rFonts w:ascii="標楷體" w:eastAsia="標楷體" w:hAnsi="標楷體" w:cs="標楷體"/>
          <w:color w:val="000000" w:themeColor="text1"/>
        </w:rPr>
      </w:pPr>
      <w:r w:rsidRPr="00C01C50">
        <w:rPr>
          <w:rFonts w:ascii="標楷體" w:eastAsia="標楷體" w:hAnsi="標楷體" w:cs="標楷體"/>
          <w:b/>
          <w:bCs/>
          <w:color w:val="000000" w:themeColor="text1"/>
        </w:rPr>
        <w:t>研究於「創業展才能」計劃下，增設入場門檻較低的資助項目，以扶助小型社福機構及初創企業開設小型業務</w:t>
      </w:r>
      <w:r w:rsidRPr="00C01C50">
        <w:rPr>
          <w:rFonts w:ascii="標楷體" w:eastAsia="標楷體" w:hAnsi="標楷體" w:cs="標楷體"/>
          <w:color w:val="000000" w:themeColor="text1"/>
        </w:rPr>
        <w:t>。</w:t>
      </w:r>
    </w:p>
    <w:p w14:paraId="22417FDB" w14:textId="77777777" w:rsidR="00EB79C3" w:rsidRPr="00C01C50" w:rsidRDefault="00EB79C3">
      <w:pPr>
        <w:widowControl/>
        <w:spacing w:line="276" w:lineRule="auto"/>
        <w:ind w:left="480"/>
        <w:rPr>
          <w:rFonts w:ascii="標楷體" w:eastAsia="標楷體" w:hAnsi="標楷體" w:cs="標楷體"/>
          <w:color w:val="000000" w:themeColor="text1"/>
          <w:sz w:val="22"/>
          <w:szCs w:val="22"/>
        </w:rPr>
      </w:pPr>
    </w:p>
    <w:p w14:paraId="45D2AEA1" w14:textId="77777777" w:rsidR="00EB79C3" w:rsidRPr="00C01C50" w:rsidRDefault="00000000">
      <w:pPr>
        <w:widowControl/>
        <w:numPr>
          <w:ilvl w:val="0"/>
          <w:numId w:val="4"/>
        </w:numPr>
        <w:jc w:val="both"/>
        <w:rPr>
          <w:rFonts w:ascii="標楷體" w:eastAsia="標楷體" w:hAnsi="標楷體" w:cs="標楷體"/>
          <w:color w:val="000000" w:themeColor="text1"/>
        </w:rPr>
      </w:pPr>
      <w:r w:rsidRPr="00C01C50">
        <w:rPr>
          <w:rFonts w:ascii="標楷體" w:eastAsia="標楷體" w:hAnsi="標楷體" w:cs="標楷體"/>
          <w:b/>
          <w:bCs/>
          <w:color w:val="000000" w:themeColor="text1"/>
        </w:rPr>
        <w:t>與社福機構合作推行殘疾人士創業試驗計劃</w:t>
      </w:r>
      <w:r w:rsidRPr="00C01C50">
        <w:rPr>
          <w:rFonts w:ascii="標楷體" w:eastAsia="標楷體" w:hAnsi="標楷體" w:cs="標楷體"/>
          <w:color w:val="000000" w:themeColor="text1"/>
        </w:rPr>
        <w:t>，扶助殘疾人士創業；除提供輔導服務外，引入專業人士給予經營指導，協助品牌長遠發展。</w:t>
      </w:r>
    </w:p>
    <w:p w14:paraId="3E822790" w14:textId="77777777" w:rsidR="00EB79C3" w:rsidRPr="00C01C50" w:rsidRDefault="00EB79C3">
      <w:pPr>
        <w:widowControl/>
        <w:rPr>
          <w:rFonts w:ascii="標楷體" w:eastAsia="標楷體" w:hAnsi="標楷體" w:cs="標楷體"/>
          <w:color w:val="000000" w:themeColor="text1"/>
        </w:rPr>
        <w:sectPr w:rsidR="00EB79C3" w:rsidRPr="00C01C50">
          <w:pgSz w:w="11906" w:h="16838"/>
          <w:pgMar w:top="1440" w:right="1440" w:bottom="1440" w:left="1440" w:header="851" w:footer="992" w:gutter="0"/>
          <w:cols w:space="720"/>
        </w:sectPr>
      </w:pPr>
    </w:p>
    <w:p w14:paraId="22348752" w14:textId="77777777" w:rsidR="00EB79C3" w:rsidRPr="00C01C50" w:rsidRDefault="00000000">
      <w:pPr>
        <w:widowControl/>
        <w:spacing w:line="360" w:lineRule="auto"/>
        <w:jc w:val="center"/>
        <w:rPr>
          <w:rFonts w:ascii="標楷體" w:eastAsia="標楷體" w:hAnsi="標楷體" w:cs="標楷體"/>
          <w:color w:val="000000" w:themeColor="text1"/>
        </w:rPr>
      </w:pPr>
      <w:r w:rsidRPr="00C01C50">
        <w:rPr>
          <w:rFonts w:ascii="標楷體" w:eastAsia="標楷體" w:hAnsi="標楷體" w:cs="標楷體"/>
          <w:b/>
          <w:bCs/>
          <w:color w:val="000000" w:themeColor="text1"/>
        </w:rPr>
        <w:lastRenderedPageBreak/>
        <w:t>（4）慢性疾病社區復康服務發展</w:t>
      </w:r>
    </w:p>
    <w:p w14:paraId="54381D9E" w14:textId="77777777" w:rsidR="00EB79C3" w:rsidRPr="00C01C50" w:rsidRDefault="00000000">
      <w:pPr>
        <w:widowControl/>
        <w:spacing w:line="276" w:lineRule="auto"/>
        <w:ind w:firstLine="496"/>
        <w:jc w:val="both"/>
        <w:rPr>
          <w:rFonts w:ascii="標楷體" w:eastAsia="標楷體" w:hAnsi="標楷體" w:cs="標楷體"/>
          <w:color w:val="000000" w:themeColor="text1"/>
        </w:rPr>
      </w:pPr>
      <w:r w:rsidRPr="00C01C50">
        <w:rPr>
          <w:rFonts w:ascii="標楷體" w:eastAsia="標楷體" w:hAnsi="標楷體" w:cs="標楷體"/>
          <w:color w:val="000000" w:themeColor="text1"/>
        </w:rPr>
        <w:t>國家「十五五」規劃明確提出「加強慢性病</w:t>
      </w:r>
      <w:proofErr w:type="gramStart"/>
      <w:r w:rsidRPr="00C01C50">
        <w:rPr>
          <w:rFonts w:ascii="標楷體" w:eastAsia="標楷體" w:hAnsi="標楷體" w:cs="標楷體"/>
          <w:color w:val="000000" w:themeColor="text1"/>
        </w:rPr>
        <w:t>綜合防控</w:t>
      </w:r>
      <w:proofErr w:type="gramEnd"/>
      <w:r w:rsidRPr="00C01C50">
        <w:rPr>
          <w:rFonts w:ascii="標楷體" w:eastAsia="標楷體" w:hAnsi="標楷體" w:cs="標楷體"/>
          <w:color w:val="000000" w:themeColor="text1"/>
        </w:rPr>
        <w:t>，發展</w:t>
      </w:r>
      <w:proofErr w:type="gramStart"/>
      <w:r w:rsidRPr="00C01C50">
        <w:rPr>
          <w:rFonts w:ascii="標楷體" w:eastAsia="標楷體" w:hAnsi="標楷體" w:cs="標楷體"/>
          <w:color w:val="000000" w:themeColor="text1"/>
        </w:rPr>
        <w:t>防治康管全</w:t>
      </w:r>
      <w:proofErr w:type="gramEnd"/>
      <w:r w:rsidRPr="00C01C50">
        <w:rPr>
          <w:rFonts w:ascii="標楷體" w:eastAsia="標楷體" w:hAnsi="標楷體" w:cs="標楷體"/>
          <w:color w:val="000000" w:themeColor="text1"/>
        </w:rPr>
        <w:t>鏈條服務」，並</w:t>
      </w:r>
      <w:proofErr w:type="gramStart"/>
      <w:r w:rsidRPr="00C01C50">
        <w:rPr>
          <w:rFonts w:ascii="標楷體" w:eastAsia="標楷體" w:hAnsi="標楷體" w:cs="標楷體"/>
          <w:color w:val="000000" w:themeColor="text1"/>
        </w:rPr>
        <w:t>將腦機接</w:t>
      </w:r>
      <w:proofErr w:type="gramEnd"/>
      <w:r w:rsidRPr="00C01C50">
        <w:rPr>
          <w:rFonts w:ascii="標楷體" w:eastAsia="標楷體" w:hAnsi="標楷體" w:cs="標楷體"/>
          <w:color w:val="000000" w:themeColor="text1"/>
        </w:rPr>
        <w:t>口等創新技術列為重點發展方向。為建設「</w:t>
      </w:r>
      <w:proofErr w:type="gramStart"/>
      <w:r w:rsidRPr="00C01C50">
        <w:rPr>
          <w:rFonts w:ascii="標楷體" w:eastAsia="標楷體" w:hAnsi="標楷體" w:cs="標楷體"/>
          <w:color w:val="000000" w:themeColor="text1"/>
        </w:rPr>
        <w:t>健康香港</w:t>
      </w:r>
      <w:proofErr w:type="gramEnd"/>
      <w:r w:rsidRPr="00C01C50">
        <w:rPr>
          <w:rFonts w:ascii="標楷體" w:eastAsia="標楷體" w:hAnsi="標楷體" w:cs="標楷體"/>
          <w:color w:val="000000" w:themeColor="text1"/>
        </w:rPr>
        <w:t>」，本港應進一步深化</w:t>
      </w:r>
      <w:proofErr w:type="gramStart"/>
      <w:r w:rsidRPr="00C01C50">
        <w:rPr>
          <w:rFonts w:ascii="標楷體" w:eastAsia="標楷體" w:hAnsi="標楷體" w:cs="標楷體"/>
          <w:color w:val="000000" w:themeColor="text1"/>
        </w:rPr>
        <w:t>醫</w:t>
      </w:r>
      <w:proofErr w:type="gramEnd"/>
      <w:r w:rsidRPr="00C01C50">
        <w:rPr>
          <w:rFonts w:ascii="標楷體" w:eastAsia="標楷體" w:hAnsi="標楷體" w:cs="標楷體"/>
          <w:color w:val="000000" w:themeColor="text1"/>
        </w:rPr>
        <w:t>社協作，強化公營醫療與社區復康服務的銜接，逐步建立「院前預防、院中治療、院後復康」的整合模式，並推動創新復康技術及輔助科技更快落地應用。 的可及性，逐步建立「院前預防、院中治療、院後復康」的整合模式，並推動創新復康技術更快落地應用。</w:t>
      </w:r>
    </w:p>
    <w:p w14:paraId="07D52585" w14:textId="77777777" w:rsidR="00EB79C3" w:rsidRPr="00C01C50" w:rsidRDefault="00000000">
      <w:pPr>
        <w:widowControl/>
        <w:spacing w:before="240" w:after="240"/>
        <w:ind w:firstLine="496"/>
        <w:jc w:val="both"/>
        <w:rPr>
          <w:rFonts w:ascii="標楷體" w:eastAsia="標楷體" w:hAnsi="標楷體" w:cs="標楷體"/>
          <w:color w:val="000000" w:themeColor="text1"/>
          <w:u w:val="single"/>
        </w:rPr>
      </w:pPr>
      <w:r w:rsidRPr="00C01C50">
        <w:rPr>
          <w:rFonts w:ascii="標楷體" w:eastAsia="標楷體" w:hAnsi="標楷體" w:cs="標楷體"/>
          <w:color w:val="000000" w:themeColor="text1"/>
        </w:rPr>
        <w:t>現行公立醫院與地區康健中心的社區復康轉</w:t>
      </w:r>
      <w:proofErr w:type="gramStart"/>
      <w:r w:rsidRPr="00C01C50">
        <w:rPr>
          <w:rFonts w:ascii="標楷體" w:eastAsia="標楷體" w:hAnsi="標楷體" w:cs="標楷體"/>
          <w:color w:val="000000" w:themeColor="text1"/>
        </w:rPr>
        <w:t>介</w:t>
      </w:r>
      <w:proofErr w:type="gramEnd"/>
      <w:r w:rsidRPr="00C01C50">
        <w:rPr>
          <w:rFonts w:ascii="標楷體" w:eastAsia="標楷體" w:hAnsi="標楷體" w:cs="標楷體"/>
          <w:color w:val="000000" w:themeColor="text1"/>
        </w:rPr>
        <w:t>機制，主要涵蓋中風、髖骨折及急性心肌梗塞後期病人，其他同樣有社區復康需要的長期病患者，出院後往往仍需自行尋找服務；而且現時坊間的輔助科技 (Assistive Technology)</w:t>
      </w:r>
      <w:r w:rsidRPr="00C01C50">
        <w:rPr>
          <w:rFonts w:ascii="標楷體" w:eastAsia="標楷體" w:hAnsi="標楷體" w:cs="標楷體"/>
          <w:color w:val="000000" w:themeColor="text1"/>
          <w:vertAlign w:val="superscript"/>
        </w:rPr>
        <w:footnoteReference w:id="5"/>
      </w:r>
      <w:r w:rsidRPr="00C01C50">
        <w:rPr>
          <w:rFonts w:ascii="標楷體" w:eastAsia="標楷體" w:hAnsi="標楷體" w:cs="標楷體"/>
          <w:color w:val="000000" w:themeColor="text1"/>
        </w:rPr>
        <w:t xml:space="preserve"> 種類</w:t>
      </w:r>
      <w:proofErr w:type="gramStart"/>
      <w:r w:rsidRPr="00C01C50">
        <w:rPr>
          <w:rFonts w:ascii="標楷體" w:eastAsia="標楷體" w:hAnsi="標楷體" w:cs="標楷體"/>
          <w:color w:val="000000" w:themeColor="text1"/>
        </w:rPr>
        <w:t>繁多且質素</w:t>
      </w:r>
      <w:proofErr w:type="gramEnd"/>
      <w:r w:rsidRPr="00C01C50">
        <w:rPr>
          <w:rFonts w:ascii="標楷體" w:eastAsia="標楷體" w:hAnsi="標楷體" w:cs="標楷體"/>
          <w:color w:val="000000" w:themeColor="text1"/>
        </w:rPr>
        <w:t>參差，病人難以快速掌握從哪裡尋找合適且安全的輔助工具。除此之外，政府亦應回應《殘疾人保障和發展“十五五”規劃》所</w:t>
      </w:r>
      <w:proofErr w:type="gramStart"/>
      <w:r w:rsidRPr="00C01C50">
        <w:rPr>
          <w:rFonts w:ascii="標楷體" w:eastAsia="標楷體" w:hAnsi="標楷體" w:cs="標楷體"/>
          <w:color w:val="000000" w:themeColor="text1"/>
        </w:rPr>
        <w:t>倡</w:t>
      </w:r>
      <w:proofErr w:type="gramEnd"/>
      <w:r w:rsidRPr="00C01C50">
        <w:rPr>
          <w:rFonts w:ascii="標楷體" w:eastAsia="標楷體" w:hAnsi="標楷體" w:cs="標楷體"/>
          <w:color w:val="000000" w:themeColor="text1"/>
        </w:rPr>
        <w:t>，加強殘疾人士或病友與自助組織之聯繫，充分發揮同路人相互扶持的力量，協助他們重建生活並融入社會。就此，本會建議特區政府</w:t>
      </w:r>
      <w:proofErr w:type="gramStart"/>
      <w:r w:rsidRPr="00C01C50">
        <w:rPr>
          <w:rFonts w:ascii="標楷體" w:eastAsia="標楷體" w:hAnsi="標楷體" w:cs="標楷體"/>
          <w:color w:val="000000" w:themeColor="text1"/>
        </w:rPr>
        <w:t>︰</w:t>
      </w:r>
      <w:proofErr w:type="gramEnd"/>
    </w:p>
    <w:p w14:paraId="170D211B" w14:textId="77777777" w:rsidR="00EB79C3" w:rsidRPr="00C01C50" w:rsidRDefault="00000000">
      <w:pPr>
        <w:widowControl/>
        <w:rPr>
          <w:rFonts w:ascii="標楷體" w:eastAsia="標楷體" w:hAnsi="標楷體" w:cs="標楷體"/>
          <w:b/>
          <w:bCs/>
          <w:color w:val="000000" w:themeColor="text1"/>
        </w:rPr>
      </w:pPr>
      <w:r w:rsidRPr="00C01C50">
        <w:rPr>
          <w:rFonts w:ascii="標楷體" w:eastAsia="標楷體" w:hAnsi="標楷體" w:cs="標楷體"/>
          <w:color w:val="000000" w:themeColor="text1"/>
          <w:u w:val="single"/>
        </w:rPr>
        <w:t>協力發展</w:t>
      </w:r>
      <w:proofErr w:type="gramStart"/>
      <w:r w:rsidRPr="00C01C50">
        <w:rPr>
          <w:rFonts w:ascii="標楷體" w:eastAsia="標楷體" w:hAnsi="標楷體" w:cs="標楷體"/>
          <w:color w:val="000000" w:themeColor="text1"/>
          <w:u w:val="single"/>
        </w:rPr>
        <w:t>醫</w:t>
      </w:r>
      <w:proofErr w:type="gramEnd"/>
      <w:r w:rsidRPr="00C01C50">
        <w:rPr>
          <w:rFonts w:ascii="標楷體" w:eastAsia="標楷體" w:hAnsi="標楷體" w:cs="標楷體"/>
          <w:color w:val="000000" w:themeColor="text1"/>
          <w:u w:val="single"/>
        </w:rPr>
        <w:t>社協作，構建「預防、治療、復康管理」全鏈條的一體化醫療服務體系</w:t>
      </w:r>
    </w:p>
    <w:p w14:paraId="6DBBCEB7" w14:textId="77777777" w:rsidR="00EB79C3" w:rsidRPr="00C01C50" w:rsidRDefault="00000000">
      <w:pPr>
        <w:widowControl/>
        <w:numPr>
          <w:ilvl w:val="0"/>
          <w:numId w:val="14"/>
        </w:numPr>
        <w:ind w:left="425" w:hanging="425"/>
        <w:rPr>
          <w:rFonts w:ascii="標楷體" w:eastAsia="標楷體" w:hAnsi="標楷體" w:cs="標楷體"/>
          <w:color w:val="000000" w:themeColor="text1"/>
        </w:rPr>
      </w:pPr>
      <w:r w:rsidRPr="00C01C50">
        <w:rPr>
          <w:rFonts w:ascii="標楷體" w:eastAsia="標楷體" w:hAnsi="標楷體" w:cs="標楷體"/>
          <w:b/>
          <w:bCs/>
          <w:color w:val="000000" w:themeColor="text1"/>
        </w:rPr>
        <w:t>整合本港</w:t>
      </w:r>
      <w:proofErr w:type="gramStart"/>
      <w:r w:rsidRPr="00C01C50">
        <w:rPr>
          <w:rFonts w:ascii="標楷體" w:eastAsia="標楷體" w:hAnsi="標楷體" w:cs="標楷體"/>
          <w:b/>
          <w:bCs/>
          <w:color w:val="000000" w:themeColor="text1"/>
        </w:rPr>
        <w:t>社區慢病管理</w:t>
      </w:r>
      <w:proofErr w:type="gramEnd"/>
      <w:r w:rsidRPr="00C01C50">
        <w:rPr>
          <w:rFonts w:ascii="標楷體" w:eastAsia="標楷體" w:hAnsi="標楷體" w:cs="標楷體"/>
          <w:b/>
          <w:bCs/>
          <w:color w:val="000000" w:themeColor="text1"/>
        </w:rPr>
        <w:t>及復康服務的提供機構，以及</w:t>
      </w:r>
      <w:proofErr w:type="gramStart"/>
      <w:r w:rsidRPr="00C01C50">
        <w:rPr>
          <w:rFonts w:ascii="標楷體" w:eastAsia="標楷體" w:hAnsi="標楷體" w:cs="標楷體"/>
          <w:b/>
          <w:bCs/>
          <w:color w:val="000000" w:themeColor="text1"/>
        </w:rPr>
        <w:t>各病科自助</w:t>
      </w:r>
      <w:proofErr w:type="gramEnd"/>
      <w:r w:rsidRPr="00C01C50">
        <w:rPr>
          <w:rFonts w:ascii="標楷體" w:eastAsia="標楷體" w:hAnsi="標楷體" w:cs="標楷體"/>
          <w:b/>
          <w:bCs/>
          <w:color w:val="000000" w:themeColor="text1"/>
        </w:rPr>
        <w:t>組織清單，提供予醫院</w:t>
      </w:r>
      <w:proofErr w:type="gramStart"/>
      <w:r w:rsidRPr="00C01C50">
        <w:rPr>
          <w:rFonts w:ascii="標楷體" w:eastAsia="標楷體" w:hAnsi="標楷體" w:cs="標楷體"/>
          <w:b/>
          <w:bCs/>
          <w:color w:val="000000" w:themeColor="text1"/>
        </w:rPr>
        <w:t>各病科及</w:t>
      </w:r>
      <w:proofErr w:type="gramEnd"/>
      <w:r w:rsidRPr="00C01C50">
        <w:rPr>
          <w:rFonts w:ascii="標楷體" w:eastAsia="標楷體" w:hAnsi="標楷體" w:cs="標楷體"/>
          <w:b/>
          <w:bCs/>
          <w:color w:val="000000" w:themeColor="text1"/>
        </w:rPr>
        <w:t>醫務社工</w:t>
      </w:r>
      <w:r w:rsidRPr="00C01C50">
        <w:rPr>
          <w:rFonts w:ascii="標楷體" w:eastAsia="標楷體" w:hAnsi="標楷體" w:cs="標楷體"/>
          <w:color w:val="000000" w:themeColor="text1"/>
        </w:rPr>
        <w:t>，定期更新清單以確保能為病友介紹最合適的服務提供機構及自助組織。</w:t>
      </w:r>
    </w:p>
    <w:p w14:paraId="58F62E60" w14:textId="77777777" w:rsidR="00EB79C3" w:rsidRPr="00C01C50" w:rsidRDefault="00EB79C3">
      <w:pPr>
        <w:widowControl/>
        <w:ind w:left="720"/>
        <w:rPr>
          <w:rFonts w:ascii="標楷體" w:eastAsia="標楷體" w:hAnsi="標楷體" w:cs="標楷體"/>
          <w:color w:val="000000" w:themeColor="text1"/>
        </w:rPr>
      </w:pPr>
    </w:p>
    <w:p w14:paraId="775E084A" w14:textId="77777777" w:rsidR="00EB79C3" w:rsidRPr="00C01C50" w:rsidRDefault="00000000">
      <w:pPr>
        <w:widowControl/>
        <w:numPr>
          <w:ilvl w:val="0"/>
          <w:numId w:val="14"/>
        </w:numPr>
        <w:ind w:left="425" w:hanging="425"/>
        <w:rPr>
          <w:rFonts w:ascii="標楷體" w:eastAsia="標楷體" w:hAnsi="標楷體" w:cs="標楷體"/>
          <w:color w:val="000000" w:themeColor="text1"/>
        </w:rPr>
      </w:pPr>
      <w:r w:rsidRPr="00C01C50">
        <w:rPr>
          <w:rFonts w:ascii="標楷體" w:eastAsia="標楷體" w:hAnsi="標楷體" w:cs="標楷體"/>
          <w:b/>
          <w:bCs/>
          <w:color w:val="000000" w:themeColor="text1"/>
        </w:rPr>
        <w:t>建立轉</w:t>
      </w:r>
      <w:proofErr w:type="gramStart"/>
      <w:r w:rsidRPr="00C01C50">
        <w:rPr>
          <w:rFonts w:ascii="標楷體" w:eastAsia="標楷體" w:hAnsi="標楷體" w:cs="標楷體"/>
          <w:b/>
          <w:bCs/>
          <w:color w:val="000000" w:themeColor="text1"/>
        </w:rPr>
        <w:t>介</w:t>
      </w:r>
      <w:proofErr w:type="gramEnd"/>
      <w:r w:rsidRPr="00C01C50">
        <w:rPr>
          <w:rFonts w:ascii="標楷體" w:eastAsia="標楷體" w:hAnsi="標楷體" w:cs="標楷體"/>
          <w:b/>
          <w:bCs/>
          <w:color w:val="000000" w:themeColor="text1"/>
        </w:rPr>
        <w:t>機制</w:t>
      </w:r>
      <w:r w:rsidRPr="00C01C50">
        <w:rPr>
          <w:rFonts w:ascii="標楷體" w:eastAsia="標楷體" w:hAnsi="標楷體" w:cs="標楷體"/>
          <w:color w:val="000000" w:themeColor="text1"/>
        </w:rPr>
        <w:t>，特別是將現時地區康健中心未涵蓋的長期病患類別納入院後社區復康轉</w:t>
      </w:r>
      <w:proofErr w:type="gramStart"/>
      <w:r w:rsidRPr="00C01C50">
        <w:rPr>
          <w:rFonts w:ascii="標楷體" w:eastAsia="標楷體" w:hAnsi="標楷體" w:cs="標楷體"/>
          <w:color w:val="000000" w:themeColor="text1"/>
        </w:rPr>
        <w:t>介</w:t>
      </w:r>
      <w:proofErr w:type="gramEnd"/>
      <w:r w:rsidRPr="00C01C50">
        <w:rPr>
          <w:rFonts w:ascii="標楷體" w:eastAsia="標楷體" w:hAnsi="標楷體" w:cs="標楷體"/>
          <w:color w:val="000000" w:themeColor="text1"/>
        </w:rPr>
        <w:t>安排，</w:t>
      </w:r>
      <w:r w:rsidRPr="00C01C50">
        <w:rPr>
          <w:rFonts w:ascii="標楷體" w:eastAsia="標楷體" w:hAnsi="標楷體" w:cs="標楷體"/>
          <w:b/>
          <w:bCs/>
          <w:color w:val="000000" w:themeColor="text1"/>
        </w:rPr>
        <w:t>院方及醫務社工按病患需要轉</w:t>
      </w:r>
      <w:proofErr w:type="gramStart"/>
      <w:r w:rsidRPr="00C01C50">
        <w:rPr>
          <w:rFonts w:ascii="標楷體" w:eastAsia="標楷體" w:hAnsi="標楷體" w:cs="標楷體"/>
          <w:b/>
          <w:bCs/>
          <w:color w:val="000000" w:themeColor="text1"/>
        </w:rPr>
        <w:t>介</w:t>
      </w:r>
      <w:proofErr w:type="gramEnd"/>
      <w:r w:rsidRPr="00C01C50">
        <w:rPr>
          <w:rFonts w:ascii="標楷體" w:eastAsia="標楷體" w:hAnsi="標楷體" w:cs="標楷體"/>
          <w:b/>
          <w:bCs/>
          <w:color w:val="000000" w:themeColor="text1"/>
        </w:rPr>
        <w:t>其個案至合適的服務提供機構及自助組織</w:t>
      </w:r>
      <w:r w:rsidRPr="00C01C50">
        <w:rPr>
          <w:rFonts w:ascii="標楷體" w:eastAsia="標楷體" w:hAnsi="標楷體" w:cs="標楷體"/>
          <w:color w:val="000000" w:themeColor="text1"/>
        </w:rPr>
        <w:t>，確保此類高風險群組亦能獲得</w:t>
      </w:r>
      <w:proofErr w:type="gramStart"/>
      <w:r w:rsidRPr="00C01C50">
        <w:rPr>
          <w:rFonts w:ascii="標楷體" w:eastAsia="標楷體" w:hAnsi="標楷體" w:cs="標楷體"/>
          <w:color w:val="000000" w:themeColor="text1"/>
        </w:rPr>
        <w:t>適切及持續</w:t>
      </w:r>
      <w:proofErr w:type="gramEnd"/>
      <w:r w:rsidRPr="00C01C50">
        <w:rPr>
          <w:rFonts w:ascii="標楷體" w:eastAsia="標楷體" w:hAnsi="標楷體" w:cs="標楷體"/>
          <w:color w:val="000000" w:themeColor="text1"/>
        </w:rPr>
        <w:t>的社區支援，填補現有服務盲點，強化</w:t>
      </w:r>
      <w:proofErr w:type="gramStart"/>
      <w:r w:rsidRPr="00C01C50">
        <w:rPr>
          <w:rFonts w:ascii="標楷體" w:eastAsia="標楷體" w:hAnsi="標楷體" w:cs="標楷體"/>
          <w:color w:val="000000" w:themeColor="text1"/>
        </w:rPr>
        <w:t>醫</w:t>
      </w:r>
      <w:proofErr w:type="gramEnd"/>
      <w:r w:rsidRPr="00C01C50">
        <w:rPr>
          <w:rFonts w:ascii="標楷體" w:eastAsia="標楷體" w:hAnsi="標楷體" w:cs="標楷體"/>
          <w:color w:val="000000" w:themeColor="text1"/>
        </w:rPr>
        <w:t>社協作。</w:t>
      </w:r>
    </w:p>
    <w:p w14:paraId="6D7102E7" w14:textId="77777777" w:rsidR="00EB79C3" w:rsidRPr="00C01C50" w:rsidRDefault="00EB79C3">
      <w:pPr>
        <w:widowControl/>
        <w:ind w:left="720"/>
        <w:rPr>
          <w:rFonts w:ascii="標楷體" w:eastAsia="標楷體" w:hAnsi="標楷體" w:cs="標楷體"/>
          <w:color w:val="000000" w:themeColor="text1"/>
        </w:rPr>
      </w:pPr>
    </w:p>
    <w:p w14:paraId="23895A38" w14:textId="77777777" w:rsidR="00EB79C3" w:rsidRPr="00C01C50" w:rsidRDefault="00000000">
      <w:pPr>
        <w:widowControl/>
        <w:numPr>
          <w:ilvl w:val="0"/>
          <w:numId w:val="14"/>
        </w:numPr>
        <w:ind w:left="425" w:hanging="425"/>
        <w:rPr>
          <w:rFonts w:ascii="標楷體" w:eastAsia="標楷體" w:hAnsi="標楷體" w:cs="標楷體"/>
          <w:color w:val="000000" w:themeColor="text1"/>
        </w:rPr>
      </w:pPr>
      <w:r w:rsidRPr="00C01C50">
        <w:rPr>
          <w:rFonts w:ascii="標楷體" w:eastAsia="標楷體" w:hAnsi="標楷體" w:cs="標楷體"/>
          <w:b/>
          <w:bCs/>
          <w:color w:val="000000" w:themeColor="text1"/>
        </w:rPr>
        <w:t>整合現有輔助科技及樂齡科技資訊平台，納入</w:t>
      </w:r>
      <w:proofErr w:type="gramStart"/>
      <w:r w:rsidRPr="00C01C50">
        <w:rPr>
          <w:rFonts w:ascii="標楷體" w:eastAsia="標楷體" w:hAnsi="標楷體" w:cs="標楷體"/>
          <w:b/>
          <w:bCs/>
          <w:color w:val="000000" w:themeColor="text1"/>
        </w:rPr>
        <w:t>醫</w:t>
      </w:r>
      <w:proofErr w:type="gramEnd"/>
      <w:r w:rsidRPr="00C01C50">
        <w:rPr>
          <w:rFonts w:ascii="標楷體" w:eastAsia="標楷體" w:hAnsi="標楷體" w:cs="標楷體"/>
          <w:b/>
          <w:bCs/>
          <w:color w:val="000000" w:themeColor="text1"/>
        </w:rPr>
        <w:t>社協作的轉</w:t>
      </w:r>
      <w:proofErr w:type="gramStart"/>
      <w:r w:rsidRPr="00C01C50">
        <w:rPr>
          <w:rFonts w:ascii="標楷體" w:eastAsia="標楷體" w:hAnsi="標楷體" w:cs="標楷體"/>
          <w:b/>
          <w:bCs/>
          <w:color w:val="000000" w:themeColor="text1"/>
        </w:rPr>
        <w:t>介</w:t>
      </w:r>
      <w:proofErr w:type="gramEnd"/>
      <w:r w:rsidRPr="00C01C50">
        <w:rPr>
          <w:rFonts w:ascii="標楷體" w:eastAsia="標楷體" w:hAnsi="標楷體" w:cs="標楷體"/>
          <w:b/>
          <w:bCs/>
          <w:color w:val="000000" w:themeColor="text1"/>
        </w:rPr>
        <w:t>及跟進流程</w:t>
      </w:r>
      <w:r w:rsidRPr="00C01C50">
        <w:rPr>
          <w:rFonts w:ascii="標楷體" w:eastAsia="標楷體" w:hAnsi="標楷體" w:cs="標楷體"/>
          <w:color w:val="000000" w:themeColor="text1"/>
        </w:rPr>
        <w:t>，建立較清晰的一站式資訊及支援路徑，讓病人及照顧者更容易找到合適產品、服務及使用指引。</w:t>
      </w:r>
    </w:p>
    <w:p w14:paraId="6756EB63" w14:textId="77777777" w:rsidR="00EB79C3" w:rsidRPr="00C01C50" w:rsidRDefault="00EB79C3">
      <w:pPr>
        <w:widowControl/>
        <w:ind w:left="720"/>
        <w:rPr>
          <w:rFonts w:ascii="標楷體" w:eastAsia="標楷體" w:hAnsi="標楷體" w:cs="標楷體"/>
          <w:color w:val="000000" w:themeColor="text1"/>
        </w:rPr>
      </w:pPr>
    </w:p>
    <w:p w14:paraId="0C911507" w14:textId="77777777" w:rsidR="00EB79C3" w:rsidRPr="00C01C50" w:rsidRDefault="00000000">
      <w:pPr>
        <w:widowControl/>
        <w:rPr>
          <w:rFonts w:ascii="標楷體" w:eastAsia="標楷體" w:hAnsi="標楷體" w:cs="標楷體"/>
          <w:color w:val="000000" w:themeColor="text1"/>
        </w:rPr>
      </w:pPr>
      <w:r w:rsidRPr="00C01C50">
        <w:rPr>
          <w:rFonts w:ascii="標楷體" w:eastAsia="標楷體" w:hAnsi="標楷體" w:cs="標楷體"/>
          <w:color w:val="000000" w:themeColor="text1"/>
          <w:u w:val="single"/>
        </w:rPr>
        <w:t>打通創新復康科技從「研發審批」到「臨床</w:t>
      </w:r>
      <w:proofErr w:type="gramStart"/>
      <w:r w:rsidRPr="00C01C50">
        <w:rPr>
          <w:rFonts w:ascii="標楷體" w:eastAsia="標楷體" w:hAnsi="標楷體" w:cs="標楷體"/>
          <w:color w:val="000000" w:themeColor="text1"/>
          <w:u w:val="single"/>
        </w:rPr>
        <w:t>普及」</w:t>
      </w:r>
      <w:proofErr w:type="gramEnd"/>
      <w:r w:rsidRPr="00C01C50">
        <w:rPr>
          <w:rFonts w:ascii="標楷體" w:eastAsia="標楷體" w:hAnsi="標楷體" w:cs="標楷體"/>
          <w:color w:val="000000" w:themeColor="text1"/>
          <w:u w:val="single"/>
        </w:rPr>
        <w:t xml:space="preserve">的完整生態鏈 </w:t>
      </w:r>
    </w:p>
    <w:p w14:paraId="34E05BC6" w14:textId="77777777" w:rsidR="00EB79C3" w:rsidRPr="00C01C50" w:rsidRDefault="00EB79C3">
      <w:pPr>
        <w:widowControl/>
        <w:rPr>
          <w:rFonts w:ascii="標楷體" w:eastAsia="標楷體" w:hAnsi="標楷體" w:cs="標楷體"/>
          <w:color w:val="000000" w:themeColor="text1"/>
        </w:rPr>
      </w:pPr>
    </w:p>
    <w:p w14:paraId="1E2D978B" w14:textId="77777777" w:rsidR="00EB79C3" w:rsidRPr="00C01C50" w:rsidRDefault="00000000">
      <w:pPr>
        <w:widowControl/>
        <w:numPr>
          <w:ilvl w:val="0"/>
          <w:numId w:val="14"/>
        </w:numPr>
        <w:ind w:left="425"/>
        <w:rPr>
          <w:rFonts w:ascii="標楷體" w:eastAsia="標楷體" w:hAnsi="標楷體" w:cs="標楷體"/>
          <w:color w:val="000000" w:themeColor="text1"/>
        </w:rPr>
      </w:pPr>
      <w:r w:rsidRPr="00C01C50">
        <w:rPr>
          <w:rFonts w:ascii="標楷體" w:eastAsia="標楷體" w:hAnsi="標楷體" w:cs="標楷體"/>
          <w:color w:val="000000" w:themeColor="text1"/>
        </w:rPr>
        <w:t>考慮在國際醫療創新樞紐框架下（「1+」新藥審批機制、香港藥械監管中心、醫療器械立法等），</w:t>
      </w:r>
      <w:r w:rsidRPr="00C01C50">
        <w:rPr>
          <w:rFonts w:ascii="標楷體" w:eastAsia="標楷體" w:hAnsi="標楷體" w:cs="標楷體"/>
          <w:b/>
          <w:bCs/>
          <w:color w:val="000000" w:themeColor="text1"/>
        </w:rPr>
        <w:t>為</w:t>
      </w:r>
      <w:proofErr w:type="gramStart"/>
      <w:r w:rsidRPr="00C01C50">
        <w:rPr>
          <w:rFonts w:ascii="標楷體" w:eastAsia="標楷體" w:hAnsi="標楷體" w:cs="標楷體"/>
          <w:b/>
          <w:bCs/>
          <w:color w:val="000000" w:themeColor="text1"/>
        </w:rPr>
        <w:t>例如腦機接</w:t>
      </w:r>
      <w:proofErr w:type="gramEnd"/>
      <w:r w:rsidRPr="00C01C50">
        <w:rPr>
          <w:rFonts w:ascii="標楷體" w:eastAsia="標楷體" w:hAnsi="標楷體" w:cs="標楷體"/>
          <w:b/>
          <w:bCs/>
          <w:color w:val="000000" w:themeColor="text1"/>
        </w:rPr>
        <w:t>口等復康創新技術，設立專門的復康技術臨床試驗通道</w:t>
      </w:r>
      <w:r w:rsidRPr="00C01C50">
        <w:rPr>
          <w:rFonts w:ascii="標楷體" w:eastAsia="標楷體" w:hAnsi="標楷體" w:cs="標楷體"/>
          <w:color w:val="000000" w:themeColor="text1"/>
        </w:rPr>
        <w:t>，加快大學及研究機關與</w:t>
      </w:r>
      <w:proofErr w:type="gramStart"/>
      <w:r w:rsidRPr="00C01C50">
        <w:rPr>
          <w:rFonts w:ascii="標楷體" w:eastAsia="標楷體" w:hAnsi="標楷體" w:cs="標楷體"/>
          <w:color w:val="000000" w:themeColor="text1"/>
        </w:rPr>
        <w:t>醫</w:t>
      </w:r>
      <w:proofErr w:type="gramEnd"/>
      <w:r w:rsidRPr="00C01C50">
        <w:rPr>
          <w:rFonts w:ascii="標楷體" w:eastAsia="標楷體" w:hAnsi="標楷體" w:cs="標楷體"/>
          <w:color w:val="000000" w:themeColor="text1"/>
        </w:rPr>
        <w:t>管局醫院的臨床合作。</w:t>
      </w:r>
    </w:p>
    <w:p w14:paraId="561B7674" w14:textId="77777777" w:rsidR="00EB79C3" w:rsidRPr="00C01C50" w:rsidRDefault="00EB79C3">
      <w:pPr>
        <w:widowControl/>
        <w:ind w:left="720"/>
        <w:rPr>
          <w:rFonts w:ascii="標楷體" w:eastAsia="標楷體" w:hAnsi="標楷體" w:cs="標楷體"/>
          <w:color w:val="000000" w:themeColor="text1"/>
        </w:rPr>
      </w:pPr>
    </w:p>
    <w:p w14:paraId="769C1A80" w14:textId="77777777" w:rsidR="00EB79C3" w:rsidRPr="00C01C50" w:rsidRDefault="00000000">
      <w:pPr>
        <w:widowControl/>
        <w:numPr>
          <w:ilvl w:val="0"/>
          <w:numId w:val="14"/>
        </w:numPr>
        <w:ind w:left="425"/>
        <w:rPr>
          <w:rFonts w:ascii="標楷體" w:eastAsia="標楷體" w:hAnsi="標楷體" w:cs="標楷體"/>
          <w:color w:val="000000" w:themeColor="text1"/>
        </w:rPr>
      </w:pPr>
      <w:r w:rsidRPr="00C01C50">
        <w:rPr>
          <w:rFonts w:ascii="標楷體" w:eastAsia="標楷體" w:hAnsi="標楷體" w:cs="標楷體"/>
          <w:b/>
          <w:bCs/>
          <w:color w:val="000000" w:themeColor="text1"/>
        </w:rPr>
        <w:t>仿效「新科技義肢」</w:t>
      </w:r>
      <w:r w:rsidRPr="00C01C50">
        <w:rPr>
          <w:rFonts w:ascii="標楷體" w:eastAsia="標楷體" w:hAnsi="標楷體" w:cs="標楷體"/>
          <w:color w:val="000000" w:themeColor="text1"/>
          <w:vertAlign w:val="superscript"/>
        </w:rPr>
        <w:footnoteReference w:id="6"/>
      </w:r>
      <w:r w:rsidRPr="00C01C50">
        <w:rPr>
          <w:rFonts w:ascii="標楷體" w:eastAsia="標楷體" w:hAnsi="標楷體" w:cs="標楷體"/>
          <w:b/>
          <w:bCs/>
          <w:color w:val="000000" w:themeColor="text1"/>
        </w:rPr>
        <w:t>全額資助計劃，為柏</w:t>
      </w:r>
      <w:proofErr w:type="gramStart"/>
      <w:r w:rsidRPr="00C01C50">
        <w:rPr>
          <w:rFonts w:ascii="標楷體" w:eastAsia="標楷體" w:hAnsi="標楷體" w:cs="標楷體"/>
          <w:b/>
          <w:bCs/>
          <w:color w:val="000000" w:themeColor="text1"/>
        </w:rPr>
        <w:t>金遜症</w:t>
      </w:r>
      <w:proofErr w:type="gramEnd"/>
      <w:r w:rsidRPr="00C01C50">
        <w:rPr>
          <w:rFonts w:ascii="標楷體" w:eastAsia="標楷體" w:hAnsi="標楷體" w:cs="標楷體"/>
          <w:b/>
          <w:bCs/>
          <w:color w:val="000000" w:themeColor="text1"/>
        </w:rPr>
        <w:t>、中風等高需病人，設立「創新復康技術先導資助計劃」</w:t>
      </w:r>
      <w:r w:rsidRPr="00C01C50">
        <w:rPr>
          <w:rFonts w:ascii="標楷體" w:eastAsia="標楷體" w:hAnsi="標楷體" w:cs="標楷體"/>
          <w:color w:val="000000" w:themeColor="text1"/>
        </w:rPr>
        <w:t>，資助他們在</w:t>
      </w:r>
      <w:proofErr w:type="gramStart"/>
      <w:r w:rsidRPr="00C01C50">
        <w:rPr>
          <w:rFonts w:ascii="標楷體" w:eastAsia="標楷體" w:hAnsi="標楷體" w:cs="標楷體"/>
          <w:color w:val="000000" w:themeColor="text1"/>
        </w:rPr>
        <w:t>醫</w:t>
      </w:r>
      <w:proofErr w:type="gramEnd"/>
      <w:r w:rsidRPr="00C01C50">
        <w:rPr>
          <w:rFonts w:ascii="標楷體" w:eastAsia="標楷體" w:hAnsi="標楷體" w:cs="標楷體"/>
          <w:color w:val="000000" w:themeColor="text1"/>
        </w:rPr>
        <w:t>管局接受新型治療或輔助訓練。</w:t>
      </w:r>
    </w:p>
    <w:p w14:paraId="5DB1A2F3" w14:textId="77777777" w:rsidR="00EB79C3" w:rsidRPr="00C01C50" w:rsidRDefault="00EB79C3">
      <w:pPr>
        <w:widowControl/>
        <w:ind w:left="720"/>
        <w:rPr>
          <w:rFonts w:ascii="標楷體" w:eastAsia="標楷體" w:hAnsi="標楷體" w:cs="標楷體"/>
          <w:color w:val="000000" w:themeColor="text1"/>
        </w:rPr>
      </w:pPr>
    </w:p>
    <w:p w14:paraId="02C52743" w14:textId="77777777" w:rsidR="00EB79C3" w:rsidRPr="00C01C50" w:rsidRDefault="00000000">
      <w:pPr>
        <w:widowControl/>
        <w:numPr>
          <w:ilvl w:val="0"/>
          <w:numId w:val="14"/>
        </w:numPr>
        <w:ind w:left="425"/>
        <w:rPr>
          <w:rFonts w:ascii="標楷體" w:eastAsia="標楷體" w:hAnsi="標楷體" w:cs="標楷體"/>
          <w:color w:val="000000" w:themeColor="text1"/>
        </w:rPr>
      </w:pPr>
      <w:r w:rsidRPr="00C01C50">
        <w:rPr>
          <w:rFonts w:ascii="標楷體" w:eastAsia="標楷體" w:hAnsi="標楷體" w:cs="標楷體"/>
          <w:b/>
          <w:bCs/>
          <w:color w:val="000000" w:themeColor="text1"/>
        </w:rPr>
        <w:lastRenderedPageBreak/>
        <w:t>分流現行「樂齡及</w:t>
      </w:r>
      <w:proofErr w:type="gramStart"/>
      <w:r w:rsidRPr="00C01C50">
        <w:rPr>
          <w:rFonts w:ascii="標楷體" w:eastAsia="標楷體" w:hAnsi="標楷體" w:cs="標楷體"/>
          <w:b/>
          <w:bCs/>
          <w:color w:val="000000" w:themeColor="text1"/>
        </w:rPr>
        <w:t>康復創科應用</w:t>
      </w:r>
      <w:proofErr w:type="gramEnd"/>
      <w:r w:rsidRPr="00C01C50">
        <w:rPr>
          <w:rFonts w:ascii="標楷體" w:eastAsia="標楷體" w:hAnsi="標楷體" w:cs="標楷體"/>
          <w:b/>
          <w:bCs/>
          <w:color w:val="000000" w:themeColor="text1"/>
        </w:rPr>
        <w:t>基金」，增設專注殘疾人士的「</w:t>
      </w:r>
      <w:proofErr w:type="gramStart"/>
      <w:r w:rsidRPr="00C01C50">
        <w:rPr>
          <w:rFonts w:ascii="標楷體" w:eastAsia="標楷體" w:hAnsi="標楷體" w:cs="標楷體"/>
          <w:b/>
          <w:bCs/>
          <w:color w:val="000000" w:themeColor="text1"/>
        </w:rPr>
        <w:t>康復創科應用</w:t>
      </w:r>
      <w:proofErr w:type="gramEnd"/>
      <w:r w:rsidRPr="00C01C50">
        <w:rPr>
          <w:rFonts w:ascii="標楷體" w:eastAsia="標楷體" w:hAnsi="標楷體" w:cs="標楷體"/>
          <w:b/>
          <w:bCs/>
          <w:color w:val="000000" w:themeColor="text1"/>
        </w:rPr>
        <w:t>專項基金」</w:t>
      </w:r>
      <w:r w:rsidRPr="00C01C50">
        <w:rPr>
          <w:rFonts w:ascii="標楷體" w:eastAsia="標楷體" w:hAnsi="標楷體" w:cs="標楷體"/>
          <w:color w:val="000000" w:themeColor="text1"/>
        </w:rPr>
        <w:t>，以</w:t>
      </w:r>
      <w:proofErr w:type="gramStart"/>
      <w:r w:rsidRPr="00C01C50">
        <w:rPr>
          <w:rFonts w:ascii="標楷體" w:eastAsia="標楷體" w:hAnsi="標楷體" w:cs="標楷體"/>
          <w:color w:val="000000" w:themeColor="text1"/>
        </w:rPr>
        <w:t>釐</w:t>
      </w:r>
      <w:proofErr w:type="gramEnd"/>
      <w:r w:rsidRPr="00C01C50">
        <w:rPr>
          <w:rFonts w:ascii="標楷體" w:eastAsia="標楷體" w:hAnsi="標楷體" w:cs="標楷體"/>
          <w:color w:val="000000" w:themeColor="text1"/>
        </w:rPr>
        <w:t>清資助重點；同時強化「研發至廣泛應用」的轉化機制，加速科</w:t>
      </w:r>
      <w:proofErr w:type="gramStart"/>
      <w:r w:rsidRPr="00C01C50">
        <w:rPr>
          <w:rFonts w:ascii="標楷體" w:eastAsia="標楷體" w:hAnsi="標楷體" w:cs="標楷體"/>
          <w:color w:val="000000" w:themeColor="text1"/>
        </w:rPr>
        <w:t>研</w:t>
      </w:r>
      <w:proofErr w:type="gramEnd"/>
      <w:r w:rsidRPr="00C01C50">
        <w:rPr>
          <w:rFonts w:ascii="標楷體" w:eastAsia="標楷體" w:hAnsi="標楷體" w:cs="標楷體"/>
          <w:color w:val="000000" w:themeColor="text1"/>
        </w:rPr>
        <w:t>成果切實落地，有效惠及殘疾群體。</w:t>
      </w:r>
    </w:p>
    <w:p w14:paraId="607FE6CA" w14:textId="77777777" w:rsidR="00EB79C3" w:rsidRPr="00C01C50" w:rsidRDefault="00EB79C3">
      <w:pPr>
        <w:widowControl/>
        <w:ind w:left="480"/>
        <w:rPr>
          <w:rFonts w:ascii="標楷體" w:eastAsia="標楷體" w:hAnsi="標楷體" w:cs="標楷體"/>
          <w:color w:val="000000" w:themeColor="text1"/>
        </w:rPr>
        <w:sectPr w:rsidR="00EB79C3" w:rsidRPr="00C01C50">
          <w:pgSz w:w="11906" w:h="16838"/>
          <w:pgMar w:top="1440" w:right="1440" w:bottom="1440" w:left="1440" w:header="851" w:footer="992" w:gutter="0"/>
          <w:cols w:space="720"/>
        </w:sectPr>
      </w:pPr>
    </w:p>
    <w:p w14:paraId="25C5CF18" w14:textId="77777777" w:rsidR="00EB79C3" w:rsidRPr="00C01C50" w:rsidRDefault="00000000">
      <w:pPr>
        <w:jc w:val="center"/>
        <w:rPr>
          <w:rFonts w:ascii="標楷體" w:eastAsia="標楷體" w:hAnsi="標楷體" w:cs="標楷體"/>
          <w:b/>
          <w:bCs/>
          <w:color w:val="000000" w:themeColor="text1"/>
        </w:rPr>
      </w:pPr>
      <w:bookmarkStart w:id="2" w:name="_heading=h.gwe1aj7ngv8a" w:colFirst="0" w:colLast="0"/>
      <w:bookmarkEnd w:id="2"/>
      <w:r w:rsidRPr="00C01C50">
        <w:rPr>
          <w:rFonts w:ascii="標楷體" w:eastAsia="標楷體" w:hAnsi="標楷體" w:cs="標楷體"/>
          <w:b/>
          <w:bCs/>
          <w:color w:val="000000" w:themeColor="text1"/>
        </w:rPr>
        <w:lastRenderedPageBreak/>
        <w:t>（5）殘疾人士和病人自助組織支援</w:t>
      </w:r>
    </w:p>
    <w:p w14:paraId="30A691EE" w14:textId="77777777" w:rsidR="00EB79C3" w:rsidRPr="00C01C50" w:rsidRDefault="00000000">
      <w:pPr>
        <w:widowControl/>
        <w:spacing w:before="240" w:after="240"/>
        <w:ind w:firstLine="496"/>
        <w:rPr>
          <w:rFonts w:ascii="標楷體" w:eastAsia="標楷體" w:hAnsi="標楷體" w:cs="標楷體"/>
          <w:color w:val="000000" w:themeColor="text1"/>
        </w:rPr>
      </w:pPr>
      <w:r w:rsidRPr="00C01C50">
        <w:rPr>
          <w:rFonts w:ascii="標楷體" w:eastAsia="標楷體" w:hAnsi="標楷體" w:cs="標楷體"/>
          <w:color w:val="000000" w:themeColor="text1"/>
        </w:rPr>
        <w:t>殘疾人士及病人自助組織是本港「</w:t>
      </w:r>
      <w:proofErr w:type="gramStart"/>
      <w:r w:rsidRPr="00C01C50">
        <w:rPr>
          <w:rFonts w:ascii="標楷體" w:eastAsia="標楷體" w:hAnsi="標楷體" w:cs="標楷體"/>
          <w:color w:val="000000" w:themeColor="text1"/>
        </w:rPr>
        <w:t>醫</w:t>
      </w:r>
      <w:proofErr w:type="gramEnd"/>
      <w:r w:rsidRPr="00C01C50">
        <w:rPr>
          <w:rFonts w:ascii="標楷體" w:eastAsia="標楷體" w:hAnsi="標楷體" w:cs="標楷體"/>
          <w:color w:val="000000" w:themeColor="text1"/>
        </w:rPr>
        <w:t>社協作」中不可或缺的重要一環。透過同路人間的經驗交流與</w:t>
      </w:r>
      <w:proofErr w:type="gramStart"/>
      <w:r w:rsidRPr="00C01C50">
        <w:rPr>
          <w:rFonts w:ascii="標楷體" w:eastAsia="標楷體" w:hAnsi="標楷體" w:cs="標楷體"/>
          <w:color w:val="000000" w:themeColor="text1"/>
        </w:rPr>
        <w:t>關顧互勉</w:t>
      </w:r>
      <w:proofErr w:type="gramEnd"/>
      <w:r w:rsidRPr="00C01C50">
        <w:rPr>
          <w:rFonts w:ascii="標楷體" w:eastAsia="標楷體" w:hAnsi="標楷體" w:cs="標楷體"/>
          <w:color w:val="000000" w:themeColor="text1"/>
        </w:rPr>
        <w:t>，組織不僅能引領病患與</w:t>
      </w:r>
      <w:proofErr w:type="gramStart"/>
      <w:r w:rsidRPr="00C01C50">
        <w:rPr>
          <w:rFonts w:ascii="標楷體" w:eastAsia="標楷體" w:hAnsi="標楷體" w:cs="標楷體"/>
          <w:color w:val="000000" w:themeColor="text1"/>
        </w:rPr>
        <w:t>照顧者社群</w:t>
      </w:r>
      <w:proofErr w:type="gramEnd"/>
      <w:r w:rsidRPr="00C01C50">
        <w:rPr>
          <w:rFonts w:ascii="標楷體" w:eastAsia="標楷體" w:hAnsi="標楷體" w:cs="標楷體"/>
          <w:color w:val="000000" w:themeColor="text1"/>
        </w:rPr>
        <w:t>走向正面人生，更能凝聚群體聲音，將自身經歷轉化為具建設性的政策倡議，協力政府實現</w:t>
      </w:r>
      <w:proofErr w:type="gramStart"/>
      <w:r w:rsidRPr="00C01C50">
        <w:rPr>
          <w:rFonts w:ascii="標楷體" w:eastAsia="標楷體" w:hAnsi="標楷體" w:cs="標楷體"/>
          <w:color w:val="000000" w:themeColor="text1"/>
        </w:rPr>
        <w:t>良政善治</w:t>
      </w:r>
      <w:proofErr w:type="gramEnd"/>
      <w:r w:rsidRPr="00C01C50">
        <w:rPr>
          <w:rFonts w:ascii="標楷體" w:eastAsia="標楷體" w:hAnsi="標楷體" w:cs="標楷體"/>
          <w:color w:val="000000" w:themeColor="text1"/>
        </w:rPr>
        <w:t>。</w:t>
      </w:r>
    </w:p>
    <w:p w14:paraId="01391282" w14:textId="77777777" w:rsidR="00EB79C3" w:rsidRPr="00C01C50" w:rsidRDefault="00000000">
      <w:pPr>
        <w:widowControl/>
        <w:spacing w:before="240" w:after="240"/>
        <w:ind w:firstLine="496"/>
        <w:rPr>
          <w:rFonts w:ascii="標楷體" w:eastAsia="標楷體" w:hAnsi="標楷體" w:cs="標楷體"/>
          <w:color w:val="000000" w:themeColor="text1"/>
        </w:rPr>
      </w:pPr>
      <w:r w:rsidRPr="00C01C50">
        <w:rPr>
          <w:rFonts w:ascii="標楷體" w:eastAsia="標楷體" w:hAnsi="標楷體" w:cs="標楷體"/>
          <w:color w:val="000000" w:themeColor="text1"/>
        </w:rPr>
        <w:t>此發展方向正切合國家政策大局。國務院殘疾人工作委員會於《殘疾人保障和發展“十五五”規劃》的「殘疾人健康和康復專欄」中明確指出，須充分發揮殘疾人及其親友的作用，推廣殘疾人及親友的自助互助康復服務，以協助他們重建生活並融入社會。本會肯定特區政府近年透過直接對話等方式持續了解自助組織的發展情況及需要；然而，作為難能可貴的社區夥伴，本港不少自助組織仍長期面對難以有效接觸目標群體的困境，而且多依賴項目式、短期資助，欠缺全面而穩定的政策支援，已成為其長遠發展的主要</w:t>
      </w:r>
      <w:proofErr w:type="gramStart"/>
      <w:r w:rsidRPr="00C01C50">
        <w:rPr>
          <w:rFonts w:ascii="標楷體" w:eastAsia="標楷體" w:hAnsi="標楷體" w:cs="標楷體"/>
          <w:color w:val="000000" w:themeColor="text1"/>
        </w:rPr>
        <w:t>樽</w:t>
      </w:r>
      <w:proofErr w:type="gramEnd"/>
      <w:r w:rsidRPr="00C01C50">
        <w:rPr>
          <w:rFonts w:ascii="標楷體" w:eastAsia="標楷體" w:hAnsi="標楷體" w:cs="標楷體"/>
          <w:color w:val="000000" w:themeColor="text1"/>
        </w:rPr>
        <w:t>頸。同時，殘疾人士自助組織亦面對租借體育場地進行訓練班和舉辦共融活動困難，</w:t>
      </w:r>
      <w:proofErr w:type="gramStart"/>
      <w:r w:rsidRPr="00C01C50">
        <w:rPr>
          <w:rFonts w:ascii="標楷體" w:eastAsia="標楷體" w:hAnsi="標楷體" w:cs="標楷體"/>
          <w:color w:val="000000" w:themeColor="text1"/>
        </w:rPr>
        <w:t>康文署雖</w:t>
      </w:r>
      <w:proofErr w:type="gramEnd"/>
      <w:r w:rsidRPr="00C01C50">
        <w:rPr>
          <w:rFonts w:ascii="標楷體" w:eastAsia="標楷體" w:hAnsi="標楷體" w:cs="標楷體"/>
          <w:color w:val="000000" w:themeColor="text1"/>
        </w:rPr>
        <w:t xml:space="preserve">有推行殘疾人士場地優先預訂計劃，讓相關團體於非繁忙時段租用指定場地，惟現時僅有 6 </w:t>
      </w:r>
      <w:proofErr w:type="gramStart"/>
      <w:r w:rsidRPr="00C01C50">
        <w:rPr>
          <w:rFonts w:ascii="標楷體" w:eastAsia="標楷體" w:hAnsi="標楷體" w:cs="標楷體"/>
          <w:color w:val="000000" w:themeColor="text1"/>
        </w:rPr>
        <w:t>個</w:t>
      </w:r>
      <w:proofErr w:type="gramEnd"/>
      <w:r w:rsidRPr="00C01C50">
        <w:rPr>
          <w:rFonts w:ascii="標楷體" w:eastAsia="標楷體" w:hAnsi="標楷體" w:cs="標楷體"/>
          <w:color w:val="000000" w:themeColor="text1"/>
        </w:rPr>
        <w:t>場地納入計劃（約</w:t>
      </w:r>
      <w:proofErr w:type="gramStart"/>
      <w:r w:rsidRPr="00C01C50">
        <w:rPr>
          <w:rFonts w:ascii="標楷體" w:eastAsia="標楷體" w:hAnsi="標楷體" w:cs="標楷體"/>
          <w:color w:val="000000" w:themeColor="text1"/>
        </w:rPr>
        <w:t>佔</w:t>
      </w:r>
      <w:proofErr w:type="gramEnd"/>
      <w:r w:rsidRPr="00C01C50">
        <w:rPr>
          <w:rFonts w:ascii="標楷體" w:eastAsia="標楷體" w:hAnsi="標楷體" w:cs="標楷體"/>
          <w:color w:val="000000" w:themeColor="text1"/>
        </w:rPr>
        <w:t>全港室內體育館 6%），且部分場地位置偏遠、缺乏便利的集體運輸網絡，導致受惠人數極為有限。</w:t>
      </w:r>
    </w:p>
    <w:p w14:paraId="0587BDCD" w14:textId="77777777" w:rsidR="00EB79C3" w:rsidRPr="00C01C50" w:rsidRDefault="00000000">
      <w:pPr>
        <w:ind w:firstLine="496"/>
        <w:rPr>
          <w:rFonts w:ascii="標楷體" w:eastAsia="標楷體" w:hAnsi="標楷體" w:cs="標楷體"/>
          <w:color w:val="000000" w:themeColor="text1"/>
        </w:rPr>
      </w:pPr>
      <w:r w:rsidRPr="00C01C50">
        <w:rPr>
          <w:rFonts w:ascii="標楷體" w:eastAsia="標楷體" w:hAnsi="標楷體" w:cs="標楷體"/>
          <w:color w:val="000000" w:themeColor="text1"/>
        </w:rPr>
        <w:t>為此，本會促請政府正視上述發展障礙，並建議引入市場化合作模式，在政府引導</w:t>
      </w:r>
      <w:proofErr w:type="gramStart"/>
      <w:r w:rsidRPr="00C01C50">
        <w:rPr>
          <w:rFonts w:ascii="標楷體" w:eastAsia="標楷體" w:hAnsi="標楷體" w:cs="標楷體"/>
          <w:color w:val="000000" w:themeColor="text1"/>
        </w:rPr>
        <w:t>﹑</w:t>
      </w:r>
      <w:proofErr w:type="gramEnd"/>
      <w:r w:rsidRPr="00C01C50">
        <w:rPr>
          <w:rFonts w:ascii="標楷體" w:eastAsia="標楷體" w:hAnsi="標楷體" w:cs="標楷體"/>
          <w:color w:val="000000" w:themeColor="text1"/>
        </w:rPr>
        <w:t>社會參與</w:t>
      </w:r>
      <w:proofErr w:type="gramStart"/>
      <w:r w:rsidRPr="00C01C50">
        <w:rPr>
          <w:rFonts w:ascii="標楷體" w:eastAsia="標楷體" w:hAnsi="標楷體" w:cs="標楷體"/>
          <w:color w:val="000000" w:themeColor="text1"/>
        </w:rPr>
        <w:t>﹑</w:t>
      </w:r>
      <w:proofErr w:type="gramEnd"/>
      <w:r w:rsidRPr="00C01C50">
        <w:rPr>
          <w:rFonts w:ascii="標楷體" w:eastAsia="標楷體" w:hAnsi="標楷體" w:cs="標楷體"/>
          <w:color w:val="000000" w:themeColor="text1"/>
        </w:rPr>
        <w:t>市場參與的框架下善用市場機制，以提升自助組織服務的彈性與社會效益，確保組織得以健康、可持續地發展。</w:t>
      </w:r>
    </w:p>
    <w:p w14:paraId="43891A45" w14:textId="77777777" w:rsidR="00EB79C3" w:rsidRPr="00C01C50" w:rsidRDefault="00EB79C3">
      <w:pPr>
        <w:widowControl/>
        <w:ind w:left="960"/>
        <w:rPr>
          <w:rFonts w:ascii="標楷體" w:eastAsia="標楷體" w:hAnsi="標楷體" w:cs="標楷體"/>
          <w:color w:val="000000" w:themeColor="text1"/>
        </w:rPr>
      </w:pPr>
    </w:p>
    <w:p w14:paraId="7DC1A243" w14:textId="77777777" w:rsidR="00EB79C3" w:rsidRPr="00C01C50" w:rsidRDefault="00000000">
      <w:pPr>
        <w:widowControl/>
        <w:rPr>
          <w:rFonts w:ascii="標楷體" w:eastAsia="標楷體" w:hAnsi="標楷體" w:cs="標楷體"/>
          <w:color w:val="000000" w:themeColor="text1"/>
          <w:u w:val="single"/>
        </w:rPr>
      </w:pPr>
      <w:r w:rsidRPr="00C01C50">
        <w:rPr>
          <w:rFonts w:ascii="標楷體" w:eastAsia="標楷體" w:hAnsi="標楷體" w:cs="標楷體"/>
          <w:color w:val="000000" w:themeColor="text1"/>
          <w:u w:val="single"/>
        </w:rPr>
        <w:t>推動社區空間使用彈性化</w:t>
      </w:r>
    </w:p>
    <w:p w14:paraId="087AD316" w14:textId="77777777" w:rsidR="00EB79C3" w:rsidRPr="00C01C50" w:rsidRDefault="00000000">
      <w:pPr>
        <w:widowControl/>
        <w:numPr>
          <w:ilvl w:val="0"/>
          <w:numId w:val="2"/>
        </w:numPr>
        <w:rPr>
          <w:rFonts w:ascii="標楷體" w:eastAsia="標楷體" w:hAnsi="標楷體" w:cs="標楷體"/>
          <w:color w:val="000000" w:themeColor="text1"/>
        </w:rPr>
      </w:pPr>
      <w:r w:rsidRPr="00C01C50">
        <w:rPr>
          <w:rFonts w:ascii="標楷體" w:eastAsia="標楷體" w:hAnsi="標楷體" w:cs="標楷體"/>
          <w:color w:val="000000" w:themeColor="text1"/>
        </w:rPr>
        <w:t>提供可讓自助組織連結及服務社區上有需要群體的服務點，讓自助組織於病人資源中心、綜合青少年服務中心及社區客廳等服務單位有閒置空間的時段，</w:t>
      </w:r>
      <w:r w:rsidRPr="00C01C50">
        <w:rPr>
          <w:rFonts w:ascii="標楷體" w:eastAsia="標楷體" w:hAnsi="標楷體" w:cs="標楷體"/>
          <w:b/>
          <w:bCs/>
          <w:color w:val="000000" w:themeColor="text1"/>
        </w:rPr>
        <w:t>使用其空間作短暫辦公或提供服務</w:t>
      </w:r>
      <w:r w:rsidRPr="00C01C50">
        <w:rPr>
          <w:rFonts w:ascii="標楷體" w:eastAsia="標楷體" w:hAnsi="標楷體" w:cs="標楷體"/>
          <w:color w:val="000000" w:themeColor="text1"/>
        </w:rPr>
        <w:t>，以增加其於社區的接觸面。這將有助自助組織更有效接觸及支援病友及劏房戶等群體，同時促進社區資源共享。</w:t>
      </w:r>
    </w:p>
    <w:p w14:paraId="6B00B873" w14:textId="77777777" w:rsidR="00EB79C3" w:rsidRPr="00C01C50" w:rsidRDefault="00EB79C3">
      <w:pPr>
        <w:widowControl/>
        <w:rPr>
          <w:rFonts w:ascii="標楷體" w:eastAsia="標楷體" w:hAnsi="標楷體" w:cs="標楷體"/>
          <w:color w:val="000000" w:themeColor="text1"/>
        </w:rPr>
      </w:pPr>
    </w:p>
    <w:p w14:paraId="15B0FC3B" w14:textId="77777777" w:rsidR="00EB79C3" w:rsidRPr="00C01C50" w:rsidRDefault="00000000">
      <w:pPr>
        <w:widowControl/>
        <w:rPr>
          <w:rFonts w:ascii="標楷體" w:eastAsia="標楷體" w:hAnsi="標楷體" w:cs="標楷體"/>
          <w:color w:val="000000" w:themeColor="text1"/>
          <w:u w:val="single"/>
        </w:rPr>
      </w:pPr>
      <w:r w:rsidRPr="00C01C50">
        <w:rPr>
          <w:rFonts w:ascii="標楷體" w:eastAsia="標楷體" w:hAnsi="標楷體" w:cs="標楷體"/>
          <w:color w:val="000000" w:themeColor="text1"/>
          <w:u w:val="single"/>
        </w:rPr>
        <w:t>引入「市場化合作」模式</w:t>
      </w:r>
    </w:p>
    <w:p w14:paraId="41C91F00" w14:textId="77777777" w:rsidR="00EB79C3" w:rsidRPr="00C01C50" w:rsidRDefault="00000000">
      <w:pPr>
        <w:widowControl/>
        <w:numPr>
          <w:ilvl w:val="0"/>
          <w:numId w:val="2"/>
        </w:numPr>
        <w:rPr>
          <w:rFonts w:ascii="標楷體" w:eastAsia="標楷體" w:hAnsi="標楷體" w:cs="標楷體"/>
          <w:color w:val="000000" w:themeColor="text1"/>
        </w:rPr>
      </w:pPr>
      <w:r w:rsidRPr="00C01C50">
        <w:rPr>
          <w:rFonts w:ascii="標楷體" w:eastAsia="標楷體" w:hAnsi="標楷體" w:cs="標楷體"/>
          <w:color w:val="000000" w:themeColor="text1"/>
        </w:rPr>
        <w:t>由政策局牽頭協調，</w:t>
      </w:r>
      <w:r w:rsidRPr="00C01C50">
        <w:rPr>
          <w:rFonts w:ascii="標楷體" w:eastAsia="標楷體" w:hAnsi="標楷體" w:cs="標楷體"/>
          <w:b/>
          <w:bCs/>
          <w:color w:val="000000" w:themeColor="text1"/>
        </w:rPr>
        <w:t>設立「自助組織發展基金」</w:t>
      </w:r>
      <w:r w:rsidRPr="00C01C50">
        <w:rPr>
          <w:rFonts w:ascii="標楷體" w:eastAsia="標楷體" w:hAnsi="標楷體" w:cs="標楷體"/>
          <w:color w:val="000000" w:themeColor="text1"/>
        </w:rPr>
        <w:t>，以擴展並整合現時坊間由部份企業與基金小規模支援自助組織的做法。基金將透過「官、商、社」三方共同參與的市場化配對機制，由政府聯繫商界及社會各界，提供基本種子資金與制度框架；引導企業及慈善基金運用市場資源，按其專長和關注領域參與資助與協作；並由自助組織提出具體的服務與倡議計劃。此舉能有效善用市場機制提升服務彈性，為自助組織提供較穩定的中長期支援，鼓勵其在政策倡議、互助自助和社區連結方面擴展角色，長遠在社區內廣泛推廣助人自助的精神。</w:t>
      </w:r>
    </w:p>
    <w:p w14:paraId="5BB72C59" w14:textId="77777777" w:rsidR="00EB79C3" w:rsidRPr="00C01C50" w:rsidRDefault="00EB79C3">
      <w:pPr>
        <w:widowControl/>
        <w:ind w:left="480"/>
        <w:rPr>
          <w:rFonts w:ascii="標楷體" w:eastAsia="標楷體" w:hAnsi="標楷體" w:cs="標楷體"/>
          <w:color w:val="000000" w:themeColor="text1"/>
        </w:rPr>
      </w:pPr>
    </w:p>
    <w:p w14:paraId="1D2D3B02" w14:textId="77777777" w:rsidR="00EB79C3" w:rsidRPr="00C01C50" w:rsidRDefault="00000000">
      <w:pPr>
        <w:widowControl/>
        <w:rPr>
          <w:rFonts w:ascii="標楷體" w:eastAsia="標楷體" w:hAnsi="標楷體" w:cs="標楷體"/>
          <w:color w:val="000000" w:themeColor="text1"/>
          <w:u w:val="single"/>
        </w:rPr>
      </w:pPr>
      <w:r w:rsidRPr="00C01C50">
        <w:rPr>
          <w:rFonts w:ascii="標楷體" w:eastAsia="標楷體" w:hAnsi="標楷體" w:cs="標楷體"/>
          <w:color w:val="000000" w:themeColor="text1"/>
          <w:u w:val="single"/>
        </w:rPr>
        <w:t xml:space="preserve">優化場地優先預訂計劃 </w:t>
      </w:r>
    </w:p>
    <w:p w14:paraId="6B3D8C0C" w14:textId="77777777" w:rsidR="00EB79C3" w:rsidRPr="00C01C50" w:rsidRDefault="00000000">
      <w:pPr>
        <w:widowControl/>
        <w:numPr>
          <w:ilvl w:val="0"/>
          <w:numId w:val="2"/>
        </w:numPr>
        <w:rPr>
          <w:rFonts w:ascii="標楷體" w:eastAsia="標楷體" w:hAnsi="標楷體" w:cs="標楷體"/>
          <w:color w:val="000000" w:themeColor="text1"/>
        </w:rPr>
      </w:pPr>
      <w:r w:rsidRPr="00C01C50">
        <w:rPr>
          <w:rFonts w:ascii="標楷體" w:eastAsia="標楷體" w:hAnsi="標楷體" w:cs="標楷體"/>
          <w:color w:val="000000" w:themeColor="text1"/>
        </w:rPr>
        <w:t>擴大</w:t>
      </w:r>
      <w:proofErr w:type="gramStart"/>
      <w:r w:rsidRPr="00C01C50">
        <w:rPr>
          <w:rFonts w:ascii="標楷體" w:eastAsia="標楷體" w:hAnsi="標楷體" w:cs="標楷體"/>
          <w:color w:val="000000" w:themeColor="text1"/>
        </w:rPr>
        <w:t>康文署殘疾</w:t>
      </w:r>
      <w:proofErr w:type="gramEnd"/>
      <w:r w:rsidRPr="00C01C50">
        <w:rPr>
          <w:rFonts w:ascii="標楷體" w:eastAsia="標楷體" w:hAnsi="標楷體" w:cs="標楷體"/>
          <w:color w:val="000000" w:themeColor="text1"/>
        </w:rPr>
        <w:t>人士團體於指定場館優先預訂設施計劃覆蓋範圍，增加適用場地數量，並將「交通便利度」納入場地挑選原則，讓更多殘疾人士能切實租用場地、參與體育運動。</w:t>
      </w:r>
    </w:p>
    <w:p w14:paraId="33329DC6" w14:textId="77777777" w:rsidR="00EB79C3" w:rsidRPr="00C01C50" w:rsidRDefault="00EB79C3">
      <w:pPr>
        <w:widowControl/>
        <w:ind w:left="480"/>
        <w:rPr>
          <w:rFonts w:ascii="標楷體" w:eastAsia="標楷體" w:hAnsi="標楷體" w:cs="標楷體"/>
          <w:color w:val="000000" w:themeColor="text1"/>
        </w:rPr>
      </w:pPr>
    </w:p>
    <w:p w14:paraId="37DB80AF" w14:textId="77777777" w:rsidR="00EB79C3" w:rsidRPr="00C01C50" w:rsidRDefault="00000000">
      <w:pPr>
        <w:widowControl/>
        <w:numPr>
          <w:ilvl w:val="0"/>
          <w:numId w:val="2"/>
        </w:numPr>
        <w:rPr>
          <w:rFonts w:ascii="標楷體" w:eastAsia="標楷體" w:hAnsi="標楷體" w:cs="標楷體"/>
          <w:color w:val="000000" w:themeColor="text1"/>
        </w:rPr>
        <w:sectPr w:rsidR="00EB79C3" w:rsidRPr="00C01C50">
          <w:pgSz w:w="11906" w:h="16838"/>
          <w:pgMar w:top="1440" w:right="1440" w:bottom="1440" w:left="1440" w:header="851" w:footer="992" w:gutter="0"/>
          <w:cols w:space="720"/>
        </w:sectPr>
      </w:pPr>
      <w:r w:rsidRPr="00C01C50">
        <w:rPr>
          <w:rFonts w:ascii="標楷體" w:eastAsia="標楷體" w:hAnsi="標楷體" w:cs="標楷體"/>
          <w:color w:val="000000" w:themeColor="text1"/>
        </w:rPr>
        <w:t>延伸受惠對象，將計劃擴展至病人自助組織，以鼓勵</w:t>
      </w:r>
      <w:proofErr w:type="gramStart"/>
      <w:r w:rsidRPr="00C01C50">
        <w:rPr>
          <w:rFonts w:ascii="標楷體" w:eastAsia="標楷體" w:hAnsi="標楷體" w:cs="標楷體"/>
          <w:color w:val="000000" w:themeColor="text1"/>
        </w:rPr>
        <w:t>不同病科的</w:t>
      </w:r>
      <w:proofErr w:type="gramEnd"/>
      <w:r w:rsidRPr="00C01C50">
        <w:rPr>
          <w:rFonts w:ascii="標楷體" w:eastAsia="標楷體" w:hAnsi="標楷體" w:cs="標楷體"/>
          <w:color w:val="000000" w:themeColor="text1"/>
        </w:rPr>
        <w:t>患者透過運動改善及控制病情。</w:t>
      </w:r>
    </w:p>
    <w:p w14:paraId="7AE4858C" w14:textId="77777777" w:rsidR="00EB79C3" w:rsidRPr="00C01C50" w:rsidRDefault="00000000">
      <w:pPr>
        <w:widowControl/>
        <w:jc w:val="center"/>
        <w:rPr>
          <w:rFonts w:ascii="標楷體" w:eastAsia="標楷體" w:hAnsi="標楷體" w:cs="標楷體"/>
          <w:b/>
          <w:bCs/>
          <w:color w:val="000000" w:themeColor="text1"/>
        </w:rPr>
      </w:pPr>
      <w:r w:rsidRPr="00C01C50">
        <w:rPr>
          <w:rFonts w:ascii="標楷體" w:eastAsia="標楷體" w:hAnsi="標楷體" w:cs="標楷體"/>
          <w:b/>
          <w:bCs/>
          <w:color w:val="000000" w:themeColor="text1"/>
        </w:rPr>
        <w:lastRenderedPageBreak/>
        <w:t>（6）罕見疾病支援</w:t>
      </w:r>
    </w:p>
    <w:p w14:paraId="2BE4531B" w14:textId="77777777" w:rsidR="00EB79C3" w:rsidRPr="00C01C50" w:rsidRDefault="00EB79C3">
      <w:pPr>
        <w:widowControl/>
        <w:jc w:val="center"/>
        <w:rPr>
          <w:rFonts w:ascii="標楷體" w:eastAsia="標楷體" w:hAnsi="標楷體" w:cs="標楷體"/>
          <w:b/>
          <w:bCs/>
          <w:color w:val="000000" w:themeColor="text1"/>
        </w:rPr>
      </w:pPr>
    </w:p>
    <w:p w14:paraId="71550766" w14:textId="77777777" w:rsidR="00EB79C3" w:rsidRPr="00C01C50" w:rsidRDefault="00000000">
      <w:pPr>
        <w:widowControl/>
        <w:ind w:firstLine="496"/>
        <w:rPr>
          <w:rFonts w:ascii="標楷體" w:eastAsia="標楷體" w:hAnsi="標楷體" w:cs="標楷體"/>
          <w:color w:val="000000" w:themeColor="text1"/>
        </w:rPr>
      </w:pPr>
      <w:r w:rsidRPr="00C01C50">
        <w:rPr>
          <w:rFonts w:ascii="標楷體" w:eastAsia="標楷體" w:hAnsi="標楷體" w:cs="標楷體"/>
          <w:color w:val="000000" w:themeColor="text1"/>
        </w:rPr>
        <w:t>特區政府在過去一年推行多項措施以促進罕見病患者福祉，包括新藥註冊「第一層審批」、擴展初生嬰兒</w:t>
      </w:r>
      <w:proofErr w:type="gramStart"/>
      <w:r w:rsidRPr="00C01C50">
        <w:rPr>
          <w:rFonts w:ascii="標楷體" w:eastAsia="標楷體" w:hAnsi="標楷體" w:cs="標楷體"/>
          <w:color w:val="000000" w:themeColor="text1"/>
        </w:rPr>
        <w:t>免費篩查</w:t>
      </w:r>
      <w:proofErr w:type="gramEnd"/>
      <w:r w:rsidRPr="00C01C50">
        <w:rPr>
          <w:rFonts w:ascii="標楷體" w:eastAsia="標楷體" w:hAnsi="標楷體" w:cs="標楷體"/>
          <w:color w:val="000000" w:themeColor="text1"/>
        </w:rPr>
        <w:t>、設立醫學遺傳科，以及延伸部分罕見病藥物資助至成年患者。本會對此表示肯定。然而，本港仍欠缺清晰的罕見病定義及整體政策藍圖，醫療與社福協作及公眾教育亦不足，令患者在確診、治療及日常生活上仍面對多重壓力。國家「十五五」規劃明確提出加快罕見病創新藥物研發及提升患者用藥可及性。特區政府在罕見病醫療政策上宜與此方向對接，完善兩地新藥引入及互通機制，以惠及罕見病及重大疾病（包括癌症）患者，並全面強化針對</w:t>
      </w:r>
      <w:proofErr w:type="gramStart"/>
      <w:r w:rsidRPr="00C01C50">
        <w:rPr>
          <w:rFonts w:ascii="標楷體" w:eastAsia="標楷體" w:hAnsi="標楷體" w:cs="標楷體"/>
          <w:color w:val="000000" w:themeColor="text1"/>
        </w:rPr>
        <w:t>罕</w:t>
      </w:r>
      <w:proofErr w:type="gramEnd"/>
      <w:r w:rsidRPr="00C01C50">
        <w:rPr>
          <w:rFonts w:ascii="標楷體" w:eastAsia="標楷體" w:hAnsi="標楷體" w:cs="標楷體"/>
          <w:color w:val="000000" w:themeColor="text1"/>
        </w:rPr>
        <w:t>病患者的社區與政策支援。有鑑於此，本會建議：</w:t>
      </w:r>
    </w:p>
    <w:p w14:paraId="6609D707" w14:textId="77777777" w:rsidR="00EB79C3" w:rsidRPr="00C01C50" w:rsidRDefault="00EB79C3">
      <w:pPr>
        <w:widowControl/>
        <w:rPr>
          <w:rFonts w:ascii="標楷體" w:eastAsia="標楷體" w:hAnsi="標楷體" w:cs="標楷體"/>
          <w:color w:val="000000" w:themeColor="text1"/>
        </w:rPr>
      </w:pPr>
    </w:p>
    <w:p w14:paraId="228B14DE" w14:textId="77777777" w:rsidR="00EB79C3" w:rsidRPr="00C01C50" w:rsidRDefault="00000000">
      <w:pPr>
        <w:widowControl/>
        <w:rPr>
          <w:rFonts w:ascii="標楷體" w:eastAsia="標楷體" w:hAnsi="標楷體" w:cs="標楷體"/>
          <w:color w:val="000000" w:themeColor="text1"/>
        </w:rPr>
      </w:pPr>
      <w:r w:rsidRPr="00C01C50">
        <w:rPr>
          <w:rFonts w:ascii="標楷體" w:eastAsia="標楷體" w:hAnsi="標楷體" w:cs="標楷體"/>
          <w:color w:val="000000" w:themeColor="text1"/>
          <w:u w:val="single"/>
        </w:rPr>
        <w:t>強化藥物研發及資助</w:t>
      </w:r>
      <w:proofErr w:type="gramStart"/>
      <w:r w:rsidRPr="00C01C50">
        <w:rPr>
          <w:rFonts w:ascii="標楷體" w:eastAsia="標楷體" w:hAnsi="標楷體" w:cs="標楷體"/>
          <w:color w:val="000000" w:themeColor="text1"/>
          <w:u w:val="single"/>
        </w:rPr>
        <w:t>﹑</w:t>
      </w:r>
      <w:proofErr w:type="gramEnd"/>
      <w:r w:rsidRPr="00C01C50">
        <w:rPr>
          <w:rFonts w:ascii="標楷體" w:eastAsia="標楷體" w:hAnsi="標楷體" w:cs="標楷體"/>
          <w:color w:val="000000" w:themeColor="text1"/>
          <w:u w:val="single"/>
        </w:rPr>
        <w:t>醫療</w:t>
      </w:r>
      <w:proofErr w:type="gramStart"/>
      <w:r w:rsidRPr="00C01C50">
        <w:rPr>
          <w:rFonts w:ascii="標楷體" w:eastAsia="標楷體" w:hAnsi="標楷體" w:cs="標楷體"/>
          <w:color w:val="000000" w:themeColor="text1"/>
          <w:u w:val="single"/>
        </w:rPr>
        <w:t>﹑</w:t>
      </w:r>
      <w:proofErr w:type="gramEnd"/>
      <w:r w:rsidRPr="00C01C50">
        <w:rPr>
          <w:rFonts w:ascii="標楷體" w:eastAsia="標楷體" w:hAnsi="標楷體" w:cs="標楷體"/>
          <w:color w:val="000000" w:themeColor="text1"/>
          <w:u w:val="single"/>
        </w:rPr>
        <w:t>社區支援及專業培訓</w:t>
      </w:r>
    </w:p>
    <w:p w14:paraId="4CAC3CA6" w14:textId="77777777" w:rsidR="00EB79C3" w:rsidRPr="00C01C50" w:rsidRDefault="00000000">
      <w:pPr>
        <w:widowControl/>
        <w:numPr>
          <w:ilvl w:val="0"/>
          <w:numId w:val="11"/>
        </w:numPr>
        <w:rPr>
          <w:rFonts w:ascii="標楷體" w:eastAsia="標楷體" w:hAnsi="標楷體" w:cs="標楷體"/>
          <w:color w:val="000000" w:themeColor="text1"/>
        </w:rPr>
      </w:pPr>
      <w:r w:rsidRPr="00C01C50">
        <w:rPr>
          <w:rFonts w:ascii="標楷體" w:eastAsia="標楷體" w:hAnsi="標楷體" w:cs="標楷體"/>
          <w:color w:val="000000" w:themeColor="text1"/>
        </w:rPr>
        <w:t>政府</w:t>
      </w:r>
      <w:r w:rsidRPr="00C01C50">
        <w:rPr>
          <w:rFonts w:ascii="標楷體" w:eastAsia="標楷體" w:hAnsi="標楷體" w:cs="標楷體"/>
          <w:b/>
          <w:bCs/>
          <w:color w:val="000000" w:themeColor="text1"/>
        </w:rPr>
        <w:t>為《遺傳及罕見病目錄》的制定及公開設定明確時間表</w:t>
      </w:r>
      <w:r w:rsidRPr="00C01C50">
        <w:rPr>
          <w:rFonts w:ascii="標楷體" w:eastAsia="標楷體" w:hAnsi="標楷體" w:cs="標楷體"/>
          <w:color w:val="000000" w:themeColor="text1"/>
        </w:rPr>
        <w:t>，並參考國家「十五五」規劃關於罕見疾病及早診斷的方針，</w:t>
      </w:r>
      <w:r w:rsidRPr="00C01C50">
        <w:rPr>
          <w:rFonts w:ascii="標楷體" w:eastAsia="標楷體" w:hAnsi="標楷體" w:cs="標楷體"/>
          <w:b/>
          <w:bCs/>
          <w:color w:val="000000" w:themeColor="text1"/>
        </w:rPr>
        <w:t>善用目錄建立確診時間的基線數據，據此擬訂未來五年成效指標，</w:t>
      </w:r>
      <w:proofErr w:type="gramStart"/>
      <w:r w:rsidRPr="00C01C50">
        <w:rPr>
          <w:rFonts w:ascii="標楷體" w:eastAsia="標楷體" w:hAnsi="標楷體" w:cs="標楷體"/>
          <w:b/>
          <w:bCs/>
          <w:color w:val="000000" w:themeColor="text1"/>
        </w:rPr>
        <w:t>逐步把罕病</w:t>
      </w:r>
      <w:proofErr w:type="gramEnd"/>
      <w:r w:rsidRPr="00C01C50">
        <w:rPr>
          <w:rFonts w:ascii="標楷體" w:eastAsia="標楷體" w:hAnsi="標楷體" w:cs="標楷體"/>
          <w:b/>
          <w:bCs/>
          <w:color w:val="000000" w:themeColor="text1"/>
        </w:rPr>
        <w:t>平均確診時間縮短至明確的週數或月數</w:t>
      </w:r>
      <w:r w:rsidRPr="00C01C50">
        <w:rPr>
          <w:rFonts w:ascii="標楷體" w:eastAsia="標楷體" w:hAnsi="標楷體" w:cs="標楷體"/>
          <w:color w:val="000000" w:themeColor="text1"/>
        </w:rPr>
        <w:t>。</w:t>
      </w:r>
    </w:p>
    <w:p w14:paraId="069F8865" w14:textId="77777777" w:rsidR="00EB79C3" w:rsidRPr="00C01C50" w:rsidRDefault="00EB79C3">
      <w:pPr>
        <w:widowControl/>
        <w:ind w:left="480"/>
        <w:rPr>
          <w:rFonts w:ascii="標楷體" w:eastAsia="標楷體" w:hAnsi="標楷體" w:cs="標楷體"/>
          <w:color w:val="000000" w:themeColor="text1"/>
        </w:rPr>
      </w:pPr>
      <w:bookmarkStart w:id="3" w:name="_heading=h.uihl3mw18sx5" w:colFirst="0" w:colLast="0"/>
      <w:bookmarkEnd w:id="3"/>
    </w:p>
    <w:p w14:paraId="3140473C" w14:textId="77777777" w:rsidR="00EB79C3" w:rsidRPr="00C01C50" w:rsidRDefault="00000000">
      <w:pPr>
        <w:widowControl/>
        <w:numPr>
          <w:ilvl w:val="0"/>
          <w:numId w:val="11"/>
        </w:numPr>
        <w:rPr>
          <w:rFonts w:ascii="標楷體" w:eastAsia="標楷體" w:hAnsi="標楷體" w:cs="標楷體"/>
          <w:color w:val="000000" w:themeColor="text1"/>
        </w:rPr>
      </w:pPr>
      <w:r w:rsidRPr="00C01C50">
        <w:rPr>
          <w:rFonts w:ascii="標楷體" w:eastAsia="標楷體" w:hAnsi="標楷體" w:cs="標楷體"/>
          <w:color w:val="000000" w:themeColor="text1"/>
        </w:rPr>
        <w:t>在</w:t>
      </w:r>
      <w:r w:rsidRPr="00C01C50">
        <w:rPr>
          <w:rFonts w:ascii="標楷體" w:eastAsia="標楷體" w:hAnsi="標楷體" w:cs="標楷體"/>
          <w:b/>
          <w:bCs/>
          <w:color w:val="000000" w:themeColor="text1"/>
        </w:rPr>
        <w:t>藥物資助與臨床應用</w:t>
      </w:r>
      <w:r w:rsidRPr="00C01C50">
        <w:rPr>
          <w:rFonts w:ascii="標楷體" w:eastAsia="標楷體" w:hAnsi="標楷體" w:cs="標楷體"/>
          <w:color w:val="000000" w:themeColor="text1"/>
        </w:rPr>
        <w:t>方面，政府一方面</w:t>
      </w:r>
      <w:r w:rsidRPr="00C01C50">
        <w:rPr>
          <w:rFonts w:ascii="標楷體" w:eastAsia="標楷體" w:hAnsi="標楷體" w:cs="標楷體"/>
          <w:b/>
          <w:bCs/>
          <w:color w:val="000000" w:themeColor="text1"/>
        </w:rPr>
        <w:t>建立機制，讓內地研發且價格相宜的創新罕病及重大疾病藥物可在香港使用</w:t>
      </w:r>
      <w:r w:rsidRPr="00C01C50">
        <w:rPr>
          <w:rFonts w:ascii="標楷體" w:eastAsia="標楷體" w:hAnsi="標楷體" w:cs="標楷體"/>
          <w:color w:val="000000" w:themeColor="text1"/>
        </w:rPr>
        <w:t>，並探討與內地</w:t>
      </w:r>
      <w:r w:rsidRPr="00C01C50">
        <w:rPr>
          <w:rFonts w:ascii="標楷體" w:eastAsia="標楷體" w:hAnsi="標楷體" w:cs="標楷體"/>
          <w:b/>
          <w:bCs/>
          <w:color w:val="000000" w:themeColor="text1"/>
        </w:rPr>
        <w:t>開展創新藥物共同採購</w:t>
      </w:r>
      <w:r w:rsidRPr="00C01C50">
        <w:rPr>
          <w:rFonts w:ascii="標楷體" w:eastAsia="標楷體" w:hAnsi="標楷體" w:cs="標楷體"/>
          <w:color w:val="000000" w:themeColor="text1"/>
        </w:rPr>
        <w:t>，以降低藥費；另一方面</w:t>
      </w:r>
      <w:r w:rsidRPr="00C01C50">
        <w:rPr>
          <w:rFonts w:ascii="標楷體" w:eastAsia="標楷體" w:hAnsi="標楷體" w:cs="標楷體"/>
          <w:b/>
          <w:bCs/>
          <w:color w:val="000000" w:themeColor="text1"/>
        </w:rPr>
        <w:t>持續擴大藥物資助名冊及安全網的涵蓋範圍，加快新藥納入資助的審批流程</w:t>
      </w:r>
      <w:r w:rsidRPr="00C01C50">
        <w:rPr>
          <w:rFonts w:ascii="標楷體" w:eastAsia="標楷體" w:hAnsi="標楷體" w:cs="標楷體"/>
          <w:color w:val="000000" w:themeColor="text1"/>
        </w:rPr>
        <w:t>，並</w:t>
      </w:r>
      <w:r w:rsidRPr="00C01C50">
        <w:rPr>
          <w:rFonts w:ascii="標楷體" w:eastAsia="標楷體" w:hAnsi="標楷體" w:cs="標楷體"/>
          <w:b/>
          <w:bCs/>
          <w:color w:val="000000" w:themeColor="text1"/>
        </w:rPr>
        <w:t>逐步放寬各類罕病藥物在資助及用藥上的年齡限制</w:t>
      </w:r>
      <w:r w:rsidRPr="00C01C50">
        <w:rPr>
          <w:rFonts w:ascii="標楷體" w:eastAsia="標楷體" w:hAnsi="標楷體" w:cs="標楷體"/>
          <w:color w:val="000000" w:themeColor="text1"/>
        </w:rPr>
        <w:t>。</w:t>
      </w:r>
    </w:p>
    <w:p w14:paraId="09F999A6" w14:textId="77777777" w:rsidR="00EB79C3" w:rsidRPr="00C01C50" w:rsidRDefault="00EB79C3">
      <w:pPr>
        <w:widowControl/>
        <w:rPr>
          <w:rFonts w:ascii="標楷體" w:eastAsia="標楷體" w:hAnsi="標楷體" w:cs="標楷體"/>
          <w:color w:val="000000" w:themeColor="text1"/>
        </w:rPr>
      </w:pPr>
    </w:p>
    <w:p w14:paraId="47882868" w14:textId="77777777" w:rsidR="00EB79C3" w:rsidRPr="00C01C50" w:rsidRDefault="00000000">
      <w:pPr>
        <w:widowControl/>
        <w:numPr>
          <w:ilvl w:val="0"/>
          <w:numId w:val="11"/>
        </w:numPr>
        <w:rPr>
          <w:rFonts w:ascii="標楷體" w:eastAsia="標楷體" w:hAnsi="標楷體" w:cs="標楷體"/>
          <w:color w:val="000000" w:themeColor="text1"/>
        </w:rPr>
      </w:pPr>
      <w:bookmarkStart w:id="4" w:name="_heading=h.mzecq534mqr7" w:colFirst="0" w:colLast="0"/>
      <w:bookmarkEnd w:id="4"/>
      <w:proofErr w:type="gramStart"/>
      <w:r w:rsidRPr="00C01C50">
        <w:rPr>
          <w:rFonts w:ascii="標楷體" w:eastAsia="標楷體" w:hAnsi="標楷體" w:cs="標楷體"/>
          <w:b/>
          <w:bCs/>
          <w:color w:val="000000" w:themeColor="text1"/>
        </w:rPr>
        <w:t>將罕病</w:t>
      </w:r>
      <w:proofErr w:type="gramEnd"/>
      <w:r w:rsidRPr="00C01C50">
        <w:rPr>
          <w:rFonts w:ascii="標楷體" w:eastAsia="標楷體" w:hAnsi="標楷體" w:cs="標楷體"/>
          <w:b/>
          <w:bCs/>
          <w:color w:val="000000" w:themeColor="text1"/>
        </w:rPr>
        <w:t>醫療措施的關注點，由現時主要集中於兒童及遺傳病患者，延伸至非遺傳性及成年發病的罕病群體</w:t>
      </w:r>
      <w:r w:rsidRPr="00C01C50">
        <w:rPr>
          <w:rFonts w:ascii="標楷體" w:eastAsia="標楷體" w:hAnsi="標楷體" w:cs="標楷體"/>
          <w:color w:val="000000" w:themeColor="text1"/>
        </w:rPr>
        <w:t>，並為該群體</w:t>
      </w:r>
      <w:r w:rsidRPr="00C01C50">
        <w:rPr>
          <w:rFonts w:ascii="標楷體" w:eastAsia="標楷體" w:hAnsi="標楷體" w:cs="標楷體"/>
          <w:b/>
          <w:bCs/>
          <w:color w:val="000000" w:themeColor="text1"/>
        </w:rPr>
        <w:t>建立由醫院至社區的無縫服務系統</w:t>
      </w:r>
      <w:r w:rsidRPr="00C01C50">
        <w:rPr>
          <w:rFonts w:ascii="標楷體" w:eastAsia="標楷體" w:hAnsi="標楷體" w:cs="標楷體"/>
          <w:color w:val="000000" w:themeColor="text1"/>
        </w:rPr>
        <w:t>：</w:t>
      </w:r>
    </w:p>
    <w:p w14:paraId="4D82F2F9" w14:textId="77777777" w:rsidR="00EB79C3" w:rsidRPr="00C01C50" w:rsidRDefault="00000000">
      <w:pPr>
        <w:widowControl/>
        <w:numPr>
          <w:ilvl w:val="1"/>
          <w:numId w:val="11"/>
        </w:numPr>
        <w:rPr>
          <w:rFonts w:ascii="標楷體" w:eastAsia="標楷體" w:hAnsi="標楷體" w:cs="標楷體"/>
          <w:color w:val="000000" w:themeColor="text1"/>
        </w:rPr>
      </w:pPr>
      <w:bookmarkStart w:id="5" w:name="_heading=h.1clz8yjtnji2" w:colFirst="0" w:colLast="0"/>
      <w:bookmarkEnd w:id="5"/>
      <w:r w:rsidRPr="00C01C50">
        <w:rPr>
          <w:rFonts w:ascii="標楷體" w:eastAsia="標楷體" w:hAnsi="標楷體" w:cs="標楷體"/>
          <w:color w:val="000000" w:themeColor="text1"/>
        </w:rPr>
        <w:t>把兒童醫院「醫學遺傳科」的跨專科協作模式擴展至全港醫院聯網，並涵蓋非遺傳性的成年</w:t>
      </w:r>
      <w:proofErr w:type="gramStart"/>
      <w:r w:rsidRPr="00C01C50">
        <w:rPr>
          <w:rFonts w:ascii="標楷體" w:eastAsia="標楷體" w:hAnsi="標楷體" w:cs="標楷體"/>
          <w:color w:val="000000" w:themeColor="text1"/>
        </w:rPr>
        <w:t>罕</w:t>
      </w:r>
      <w:proofErr w:type="gramEnd"/>
      <w:r w:rsidRPr="00C01C50">
        <w:rPr>
          <w:rFonts w:ascii="標楷體" w:eastAsia="標楷體" w:hAnsi="標楷體" w:cs="標楷體"/>
          <w:color w:val="000000" w:themeColor="text1"/>
        </w:rPr>
        <w:t>病患者；</w:t>
      </w:r>
    </w:p>
    <w:p w14:paraId="33B02874" w14:textId="77777777" w:rsidR="00EB79C3" w:rsidRPr="00C01C50" w:rsidRDefault="00000000">
      <w:pPr>
        <w:widowControl/>
        <w:numPr>
          <w:ilvl w:val="1"/>
          <w:numId w:val="11"/>
        </w:numPr>
        <w:rPr>
          <w:rFonts w:ascii="標楷體" w:eastAsia="標楷體" w:hAnsi="標楷體" w:cs="標楷體"/>
          <w:color w:val="000000" w:themeColor="text1"/>
        </w:rPr>
      </w:pPr>
      <w:bookmarkStart w:id="6" w:name="_heading=h.587trcg0ktqo" w:colFirst="0" w:colLast="0"/>
      <w:bookmarkEnd w:id="6"/>
      <w:r w:rsidRPr="00C01C50">
        <w:rPr>
          <w:rFonts w:ascii="標楷體" w:eastAsia="標楷體" w:hAnsi="標楷體" w:cs="標楷體"/>
          <w:color w:val="000000" w:themeColor="text1"/>
        </w:rPr>
        <w:t>參考本會「暖暖同行」</w:t>
      </w:r>
      <w:r w:rsidRPr="00C01C50">
        <w:rPr>
          <w:rFonts w:ascii="標楷體" w:eastAsia="標楷體" w:hAnsi="標楷體" w:cs="標楷體"/>
          <w:color w:val="000000" w:themeColor="text1"/>
          <w:vertAlign w:val="superscript"/>
        </w:rPr>
        <w:footnoteReference w:id="7"/>
      </w:r>
      <w:r w:rsidRPr="00C01C50">
        <w:rPr>
          <w:rFonts w:ascii="標楷體" w:eastAsia="標楷體" w:hAnsi="標楷體" w:cs="標楷體"/>
          <w:color w:val="000000" w:themeColor="text1"/>
        </w:rPr>
        <w:t>計劃，為運動神經元疾病患者建立公立醫院內跨專科介入與社會服務及病人自助組織共同照護的模式，在醫療以外提供社區及心理支援，以延長存活期、減少住院日數並提升患者的生活質素；</w:t>
      </w:r>
    </w:p>
    <w:p w14:paraId="080CB67F" w14:textId="77777777" w:rsidR="00EB79C3" w:rsidRPr="00C01C50" w:rsidRDefault="00000000">
      <w:pPr>
        <w:widowControl/>
        <w:numPr>
          <w:ilvl w:val="1"/>
          <w:numId w:val="11"/>
        </w:numPr>
        <w:rPr>
          <w:rFonts w:ascii="標楷體" w:eastAsia="標楷體" w:hAnsi="標楷體" w:cs="標楷體"/>
          <w:color w:val="000000" w:themeColor="text1"/>
        </w:rPr>
      </w:pPr>
      <w:bookmarkStart w:id="7" w:name="_heading=h.x0uhuuenftn8" w:colFirst="0" w:colLast="0"/>
      <w:bookmarkEnd w:id="7"/>
      <w:proofErr w:type="gramStart"/>
      <w:r w:rsidRPr="00C01C50">
        <w:rPr>
          <w:rFonts w:ascii="標楷體" w:eastAsia="標楷體" w:hAnsi="標楷體" w:cs="標楷體"/>
          <w:color w:val="000000" w:themeColor="text1"/>
        </w:rPr>
        <w:t>醫</w:t>
      </w:r>
      <w:proofErr w:type="gramEnd"/>
      <w:r w:rsidRPr="00C01C50">
        <w:rPr>
          <w:rFonts w:ascii="標楷體" w:eastAsia="標楷體" w:hAnsi="標楷體" w:cs="標楷體"/>
          <w:color w:val="000000" w:themeColor="text1"/>
        </w:rPr>
        <w:t>管局借</w:t>
      </w:r>
      <w:proofErr w:type="gramStart"/>
      <w:r w:rsidRPr="00C01C50">
        <w:rPr>
          <w:rFonts w:ascii="標楷體" w:eastAsia="標楷體" w:hAnsi="標楷體" w:cs="標楷體"/>
          <w:color w:val="000000" w:themeColor="text1"/>
        </w:rPr>
        <w:t>鑑</w:t>
      </w:r>
      <w:proofErr w:type="gramEnd"/>
      <w:r w:rsidRPr="00C01C50">
        <w:rPr>
          <w:rFonts w:ascii="標楷體" w:eastAsia="標楷體" w:hAnsi="標楷體" w:cs="標楷體"/>
          <w:color w:val="000000" w:themeColor="text1"/>
        </w:rPr>
        <w:t>「長者離院支援計劃」，</w:t>
      </w:r>
      <w:proofErr w:type="gramStart"/>
      <w:r w:rsidRPr="00C01C50">
        <w:rPr>
          <w:rFonts w:ascii="標楷體" w:eastAsia="標楷體" w:hAnsi="標楷體" w:cs="標楷體"/>
          <w:color w:val="000000" w:themeColor="text1"/>
        </w:rPr>
        <w:t>為罕病患</w:t>
      </w:r>
      <w:proofErr w:type="gramEnd"/>
      <w:r w:rsidRPr="00C01C50">
        <w:rPr>
          <w:rFonts w:ascii="標楷體" w:eastAsia="標楷體" w:hAnsi="標楷體" w:cs="標楷體"/>
          <w:color w:val="000000" w:themeColor="text1"/>
        </w:rPr>
        <w:t>者提供出院後關鍵期的居家支援及社區服務連</w:t>
      </w:r>
      <w:proofErr w:type="gramStart"/>
      <w:r w:rsidRPr="00C01C50">
        <w:rPr>
          <w:rFonts w:ascii="標楷體" w:eastAsia="標楷體" w:hAnsi="標楷體" w:cs="標楷體"/>
          <w:color w:val="000000" w:themeColor="text1"/>
        </w:rPr>
        <w:t>繫</w:t>
      </w:r>
      <w:proofErr w:type="gramEnd"/>
      <w:r w:rsidRPr="00C01C50">
        <w:rPr>
          <w:rFonts w:ascii="標楷體" w:eastAsia="標楷體" w:hAnsi="標楷體" w:cs="標楷體"/>
          <w:color w:val="000000" w:themeColor="text1"/>
        </w:rPr>
        <w:t>，降低急症求診及再次緊急入院率，同時善用公營醫療資源。</w:t>
      </w:r>
    </w:p>
    <w:p w14:paraId="6AC1DD22" w14:textId="77777777" w:rsidR="00EB79C3" w:rsidRPr="00C01C50" w:rsidRDefault="00EB79C3">
      <w:pPr>
        <w:widowControl/>
        <w:ind w:left="480"/>
        <w:rPr>
          <w:rFonts w:ascii="標楷體" w:eastAsia="標楷體" w:hAnsi="標楷體" w:cs="標楷體"/>
          <w:color w:val="000000" w:themeColor="text1"/>
        </w:rPr>
      </w:pPr>
    </w:p>
    <w:p w14:paraId="2A4D47A1" w14:textId="77777777" w:rsidR="00EB79C3" w:rsidRPr="00C01C50" w:rsidRDefault="00000000">
      <w:pPr>
        <w:widowControl/>
        <w:numPr>
          <w:ilvl w:val="0"/>
          <w:numId w:val="11"/>
        </w:numPr>
        <w:rPr>
          <w:rFonts w:ascii="標楷體" w:eastAsia="標楷體" w:hAnsi="標楷體" w:cs="標楷體"/>
          <w:color w:val="000000" w:themeColor="text1"/>
        </w:rPr>
      </w:pPr>
      <w:r w:rsidRPr="00C01C50">
        <w:rPr>
          <w:rFonts w:ascii="標楷體" w:eastAsia="標楷體" w:hAnsi="標楷體" w:cs="標楷體"/>
          <w:b/>
          <w:bCs/>
          <w:color w:val="000000" w:themeColor="text1"/>
        </w:rPr>
        <w:t>政府提供資源，支持醫療界及</w:t>
      </w:r>
      <w:proofErr w:type="gramStart"/>
      <w:r w:rsidRPr="00C01C50">
        <w:rPr>
          <w:rFonts w:ascii="標楷體" w:eastAsia="標楷體" w:hAnsi="標楷體" w:cs="標楷體"/>
          <w:b/>
          <w:bCs/>
          <w:color w:val="000000" w:themeColor="text1"/>
        </w:rPr>
        <w:t>社福界邀請</w:t>
      </w:r>
      <w:proofErr w:type="gramEnd"/>
      <w:r w:rsidRPr="00C01C50">
        <w:rPr>
          <w:rFonts w:ascii="標楷體" w:eastAsia="標楷體" w:hAnsi="標楷體" w:cs="標楷體"/>
          <w:b/>
          <w:bCs/>
          <w:color w:val="000000" w:themeColor="text1"/>
        </w:rPr>
        <w:t>罕見病患者及病人組織參與專業培訓，並以「病人專家」的角色分享實際經驗</w:t>
      </w:r>
      <w:r w:rsidRPr="00C01C50">
        <w:rPr>
          <w:rFonts w:ascii="標楷體" w:eastAsia="標楷體" w:hAnsi="標楷體" w:cs="標楷體"/>
          <w:color w:val="000000" w:themeColor="text1"/>
        </w:rPr>
        <w:t>。讓前線人員更了解罕見病，以幫助專業人員及早識別疑似個案，縮短診斷延誤，並促進社區支援的轉</w:t>
      </w:r>
      <w:proofErr w:type="gramStart"/>
      <w:r w:rsidRPr="00C01C50">
        <w:rPr>
          <w:rFonts w:ascii="標楷體" w:eastAsia="標楷體" w:hAnsi="標楷體" w:cs="標楷體"/>
          <w:color w:val="000000" w:themeColor="text1"/>
        </w:rPr>
        <w:t>介</w:t>
      </w:r>
      <w:proofErr w:type="gramEnd"/>
      <w:r w:rsidRPr="00C01C50">
        <w:rPr>
          <w:rFonts w:ascii="標楷體" w:eastAsia="標楷體" w:hAnsi="標楷體" w:cs="標楷體"/>
          <w:color w:val="000000" w:themeColor="text1"/>
        </w:rPr>
        <w:t>。</w:t>
      </w:r>
    </w:p>
    <w:p w14:paraId="71C1C300" w14:textId="77777777" w:rsidR="00EB79C3" w:rsidRPr="00C01C50" w:rsidRDefault="00EB79C3">
      <w:pPr>
        <w:widowControl/>
        <w:rPr>
          <w:rFonts w:ascii="標楷體" w:eastAsia="標楷體" w:hAnsi="標楷體" w:cs="標楷體"/>
          <w:color w:val="000000" w:themeColor="text1"/>
        </w:rPr>
      </w:pPr>
    </w:p>
    <w:p w14:paraId="3162DD33" w14:textId="77777777" w:rsidR="00EB79C3" w:rsidRPr="00C01C50" w:rsidRDefault="00000000">
      <w:pPr>
        <w:widowControl/>
        <w:rPr>
          <w:rFonts w:ascii="標楷體" w:eastAsia="標楷體" w:hAnsi="標楷體" w:cs="標楷體"/>
          <w:color w:val="000000" w:themeColor="text1"/>
          <w:u w:val="single"/>
        </w:rPr>
      </w:pPr>
      <w:r w:rsidRPr="00C01C50">
        <w:rPr>
          <w:rFonts w:ascii="標楷體" w:eastAsia="標楷體" w:hAnsi="標楷體" w:cs="標楷體"/>
          <w:color w:val="000000" w:themeColor="text1"/>
          <w:u w:val="single"/>
        </w:rPr>
        <w:t>強化跨界別協作，提升罕見病患支援的整體規劃及可持續性</w:t>
      </w:r>
    </w:p>
    <w:p w14:paraId="38CCAD4B" w14:textId="77777777" w:rsidR="00EB79C3" w:rsidRPr="00C01C50" w:rsidRDefault="00000000">
      <w:pPr>
        <w:widowControl/>
        <w:numPr>
          <w:ilvl w:val="0"/>
          <w:numId w:val="11"/>
        </w:numPr>
        <w:rPr>
          <w:rFonts w:ascii="標楷體" w:eastAsia="標楷體" w:hAnsi="標楷體" w:cs="標楷體"/>
          <w:color w:val="000000" w:themeColor="text1"/>
        </w:rPr>
      </w:pPr>
      <w:r w:rsidRPr="00C01C50">
        <w:rPr>
          <w:rFonts w:ascii="標楷體" w:eastAsia="標楷體" w:hAnsi="標楷體" w:cs="標楷體"/>
          <w:b/>
          <w:bCs/>
          <w:color w:val="000000" w:themeColor="text1"/>
        </w:rPr>
        <w:t>醫務衛生局</w:t>
      </w:r>
      <w:r w:rsidRPr="00C01C50">
        <w:rPr>
          <w:rFonts w:ascii="標楷體" w:eastAsia="標楷體" w:hAnsi="標楷體" w:cs="標楷體"/>
          <w:color w:val="000000" w:themeColor="text1"/>
        </w:rPr>
        <w:t>牽頭</w:t>
      </w:r>
      <w:r w:rsidRPr="00C01C50">
        <w:rPr>
          <w:rFonts w:ascii="標楷體" w:eastAsia="標楷體" w:hAnsi="標楷體" w:cs="標楷體"/>
          <w:b/>
          <w:bCs/>
          <w:color w:val="000000" w:themeColor="text1"/>
        </w:rPr>
        <w:t>於五年內設立「罕見疾病策略委員會」</w:t>
      </w:r>
      <w:r w:rsidRPr="00C01C50">
        <w:rPr>
          <w:rFonts w:ascii="標楷體" w:eastAsia="標楷體" w:hAnsi="標楷體" w:cs="標楷體"/>
          <w:color w:val="000000" w:themeColor="text1"/>
        </w:rPr>
        <w:t>，統籌罕見病政策及服務發展，及制訂中長遠策略與目標，並協調政、</w:t>
      </w:r>
      <w:proofErr w:type="gramStart"/>
      <w:r w:rsidRPr="00C01C50">
        <w:rPr>
          <w:rFonts w:ascii="標楷體" w:eastAsia="標楷體" w:hAnsi="標楷體" w:cs="標楷體"/>
          <w:color w:val="000000" w:themeColor="text1"/>
        </w:rPr>
        <w:t>醫</w:t>
      </w:r>
      <w:proofErr w:type="gramEnd"/>
      <w:r w:rsidRPr="00C01C50">
        <w:rPr>
          <w:rFonts w:ascii="標楷體" w:eastAsia="標楷體" w:hAnsi="標楷體" w:cs="標楷體"/>
          <w:color w:val="000000" w:themeColor="text1"/>
        </w:rPr>
        <w:t>、社、民協作。</w:t>
      </w:r>
    </w:p>
    <w:p w14:paraId="1F20DFD4" w14:textId="77777777" w:rsidR="00EB79C3" w:rsidRPr="00C01C50" w:rsidRDefault="00EB79C3">
      <w:pPr>
        <w:widowControl/>
        <w:ind w:left="480"/>
        <w:rPr>
          <w:rFonts w:ascii="標楷體" w:eastAsia="標楷體" w:hAnsi="標楷體" w:cs="標楷體"/>
          <w:color w:val="000000" w:themeColor="text1"/>
        </w:rPr>
      </w:pPr>
    </w:p>
    <w:p w14:paraId="4B3789BA" w14:textId="77777777" w:rsidR="00EB79C3" w:rsidRPr="00C01C50" w:rsidRDefault="00000000">
      <w:pPr>
        <w:rPr>
          <w:rFonts w:ascii="標楷體" w:eastAsia="標楷體" w:hAnsi="標楷體" w:cs="標楷體"/>
          <w:color w:val="000000" w:themeColor="text1"/>
        </w:rPr>
      </w:pPr>
      <w:r w:rsidRPr="00C01C50">
        <w:rPr>
          <w:color w:val="000000" w:themeColor="text1"/>
        </w:rPr>
        <w:br w:type="page"/>
      </w:r>
    </w:p>
    <w:p w14:paraId="2CAB89E0" w14:textId="77777777" w:rsidR="00EB79C3" w:rsidRPr="00C01C50" w:rsidRDefault="00000000">
      <w:pPr>
        <w:widowControl/>
        <w:spacing w:line="360" w:lineRule="auto"/>
        <w:jc w:val="center"/>
        <w:rPr>
          <w:rFonts w:ascii="標楷體" w:eastAsia="標楷體" w:hAnsi="標楷體" w:cs="標楷體"/>
          <w:color w:val="000000" w:themeColor="text1"/>
          <w:highlight w:val="white"/>
        </w:rPr>
      </w:pPr>
      <w:r w:rsidRPr="00C01C50">
        <w:rPr>
          <w:rFonts w:ascii="標楷體" w:eastAsia="標楷體" w:hAnsi="標楷體" w:cs="標楷體"/>
          <w:b/>
          <w:bCs/>
          <w:color w:val="000000" w:themeColor="text1"/>
        </w:rPr>
        <w:lastRenderedPageBreak/>
        <w:t>（7）跨境照顧</w:t>
      </w:r>
    </w:p>
    <w:p w14:paraId="4BD52007" w14:textId="77777777" w:rsidR="00EB79C3" w:rsidRPr="00C01C50" w:rsidRDefault="00000000">
      <w:pPr>
        <w:widowControl/>
        <w:ind w:left="-141" w:firstLine="495"/>
        <w:rPr>
          <w:rFonts w:ascii="標楷體" w:eastAsia="標楷體" w:hAnsi="標楷體" w:cs="標楷體"/>
          <w:color w:val="000000" w:themeColor="text1"/>
          <w:highlight w:val="white"/>
        </w:rPr>
      </w:pPr>
      <w:r w:rsidRPr="00C01C50">
        <w:rPr>
          <w:rFonts w:ascii="標楷體" w:eastAsia="標楷體" w:hAnsi="標楷體" w:cs="標楷體"/>
          <w:color w:val="000000" w:themeColor="text1"/>
          <w:highlight w:val="white"/>
        </w:rPr>
        <w:t>截至2024年，已近10萬香港長者在廣東省通常居住</w:t>
      </w:r>
      <w:r w:rsidRPr="00C01C50">
        <w:rPr>
          <w:rFonts w:ascii="標楷體" w:eastAsia="標楷體" w:hAnsi="標楷體" w:cs="標楷體"/>
          <w:color w:val="000000" w:themeColor="text1"/>
          <w:highlight w:val="white"/>
          <w:vertAlign w:val="superscript"/>
        </w:rPr>
        <w:footnoteReference w:id="8"/>
      </w:r>
      <w:r w:rsidRPr="00C01C50">
        <w:rPr>
          <w:rFonts w:ascii="標楷體" w:eastAsia="標楷體" w:hAnsi="標楷體" w:cs="標楷體"/>
          <w:color w:val="000000" w:themeColor="text1"/>
          <w:highlight w:val="white"/>
        </w:rPr>
        <w:t>，</w:t>
      </w:r>
      <w:proofErr w:type="gramStart"/>
      <w:r w:rsidRPr="00C01C50">
        <w:rPr>
          <w:rFonts w:ascii="標楷體" w:eastAsia="標楷體" w:hAnsi="標楷體" w:cs="標楷體"/>
          <w:color w:val="000000" w:themeColor="text1"/>
          <w:highlight w:val="white"/>
        </w:rPr>
        <w:t>佔</w:t>
      </w:r>
      <w:proofErr w:type="gramEnd"/>
      <w:r w:rsidRPr="00C01C50">
        <w:rPr>
          <w:rFonts w:ascii="標楷體" w:eastAsia="標楷體" w:hAnsi="標楷體" w:cs="標楷體"/>
          <w:color w:val="000000" w:themeColor="text1"/>
          <w:highlight w:val="white"/>
        </w:rPr>
        <w:t>本港170萬長者人口6%。近年特區政府積極深化粵港澳</w:t>
      </w:r>
      <w:proofErr w:type="gramStart"/>
      <w:r w:rsidRPr="00C01C50">
        <w:rPr>
          <w:rFonts w:ascii="標楷體" w:eastAsia="標楷體" w:hAnsi="標楷體" w:cs="標楷體"/>
          <w:color w:val="000000" w:themeColor="text1"/>
          <w:highlight w:val="white"/>
        </w:rPr>
        <w:t>大灣區跨境</w:t>
      </w:r>
      <w:proofErr w:type="gramEnd"/>
      <w:r w:rsidRPr="00C01C50">
        <w:rPr>
          <w:rFonts w:ascii="標楷體" w:eastAsia="標楷體" w:hAnsi="標楷體" w:cs="標楷體"/>
          <w:color w:val="000000" w:themeColor="text1"/>
          <w:highlight w:val="white"/>
        </w:rPr>
        <w:t>養老政策，從增加「廣東院舍照顧服務計劃」資助院舍、擴大醫療</w:t>
      </w:r>
      <w:proofErr w:type="gramStart"/>
      <w:r w:rsidRPr="00C01C50">
        <w:rPr>
          <w:rFonts w:ascii="標楷體" w:eastAsia="標楷體" w:hAnsi="標楷體" w:cs="標楷體"/>
          <w:color w:val="000000" w:themeColor="text1"/>
          <w:highlight w:val="white"/>
        </w:rPr>
        <w:t>券</w:t>
      </w:r>
      <w:proofErr w:type="gramEnd"/>
      <w:r w:rsidRPr="00C01C50">
        <w:rPr>
          <w:rFonts w:ascii="標楷體" w:eastAsia="標楷體" w:hAnsi="標楷體" w:cs="標楷體"/>
          <w:color w:val="000000" w:themeColor="text1"/>
          <w:highlight w:val="white"/>
        </w:rPr>
        <w:t>試點、落實</w:t>
      </w:r>
      <w:proofErr w:type="gramStart"/>
      <w:r w:rsidRPr="00C01C50">
        <w:rPr>
          <w:rFonts w:ascii="標楷體" w:eastAsia="標楷體" w:hAnsi="標楷體" w:cs="標楷體"/>
          <w:color w:val="000000" w:themeColor="text1"/>
          <w:highlight w:val="white"/>
        </w:rPr>
        <w:t>醫</w:t>
      </w:r>
      <w:proofErr w:type="gramEnd"/>
      <w:r w:rsidRPr="00C01C50">
        <w:rPr>
          <w:rFonts w:ascii="標楷體" w:eastAsia="標楷體" w:hAnsi="標楷體" w:cs="標楷體"/>
          <w:color w:val="000000" w:themeColor="text1"/>
          <w:highlight w:val="white"/>
        </w:rPr>
        <w:t>保保費資助，</w:t>
      </w:r>
      <w:proofErr w:type="gramStart"/>
      <w:r w:rsidRPr="00C01C50">
        <w:rPr>
          <w:rFonts w:ascii="標楷體" w:eastAsia="標楷體" w:hAnsi="標楷體" w:cs="標楷體"/>
          <w:color w:val="000000" w:themeColor="text1"/>
          <w:highlight w:val="white"/>
        </w:rPr>
        <w:t>到</w:t>
      </w:r>
      <w:r w:rsidRPr="00C01C50">
        <w:rPr>
          <w:rFonts w:ascii="標楷體" w:eastAsia="標楷體" w:hAnsi="標楷體" w:cs="標楷體"/>
          <w:color w:val="000000" w:themeColor="text1"/>
        </w:rPr>
        <w:t>早前</w:t>
      </w:r>
      <w:proofErr w:type="gramEnd"/>
      <w:r w:rsidRPr="00C01C50">
        <w:rPr>
          <w:rFonts w:ascii="標楷體" w:eastAsia="標楷體" w:hAnsi="標楷體" w:cs="標楷體"/>
          <w:color w:val="000000" w:themeColor="text1"/>
        </w:rPr>
        <w:t>推出</w:t>
      </w:r>
      <w:r w:rsidRPr="00C01C50">
        <w:rPr>
          <w:rFonts w:ascii="標楷體" w:eastAsia="標楷體" w:hAnsi="標楷體" w:cs="標楷體"/>
          <w:color w:val="000000" w:themeColor="text1"/>
          <w:highlight w:val="white"/>
        </w:rPr>
        <w:t>的跨境發放現金援助，政策的廣度與深度均顯著提升，本會對此表示高度肯定。隨著支援體系漸趨成熟，</w:t>
      </w:r>
      <w:proofErr w:type="gramStart"/>
      <w:r w:rsidRPr="00C01C50">
        <w:rPr>
          <w:rFonts w:ascii="標楷體" w:eastAsia="標楷體" w:hAnsi="標楷體" w:cs="標楷體"/>
          <w:color w:val="000000" w:themeColor="text1"/>
          <w:highlight w:val="white"/>
        </w:rPr>
        <w:t>香港應緊隨</w:t>
      </w:r>
      <w:proofErr w:type="gramEnd"/>
      <w:r w:rsidRPr="00C01C50">
        <w:rPr>
          <w:rFonts w:ascii="標楷體" w:eastAsia="標楷體" w:hAnsi="標楷體" w:cs="標楷體"/>
          <w:color w:val="000000" w:themeColor="text1"/>
          <w:highlight w:val="white"/>
        </w:rPr>
        <w:t>國家發展步伐，探索更深層次、更多元的跨境養老模式。</w:t>
      </w:r>
    </w:p>
    <w:p w14:paraId="4A3A9B96" w14:textId="77777777" w:rsidR="00EB79C3" w:rsidRPr="00C01C50" w:rsidRDefault="00EB79C3">
      <w:pPr>
        <w:widowControl/>
        <w:jc w:val="both"/>
        <w:rPr>
          <w:rFonts w:ascii="標楷體" w:eastAsia="標楷體" w:hAnsi="標楷體" w:cs="標楷體"/>
          <w:color w:val="000000" w:themeColor="text1"/>
          <w:highlight w:val="cyan"/>
        </w:rPr>
      </w:pPr>
    </w:p>
    <w:p w14:paraId="456FAAAD" w14:textId="77777777" w:rsidR="00EB79C3" w:rsidRPr="00C01C50" w:rsidRDefault="00000000">
      <w:pPr>
        <w:widowControl/>
        <w:ind w:left="-141" w:firstLine="495"/>
        <w:jc w:val="both"/>
        <w:rPr>
          <w:rFonts w:ascii="標楷體" w:eastAsia="標楷體" w:hAnsi="標楷體" w:cs="標楷體"/>
          <w:color w:val="000000" w:themeColor="text1"/>
          <w:highlight w:val="white"/>
        </w:rPr>
      </w:pPr>
      <w:r w:rsidRPr="00C01C50">
        <w:rPr>
          <w:rFonts w:ascii="標楷體" w:eastAsia="標楷體" w:hAnsi="標楷體" w:cs="標楷體"/>
          <w:color w:val="000000" w:themeColor="text1"/>
        </w:rPr>
        <w:t>2026年初，本會針對智障人士的父母進行了一項調查，以了解他們就</w:t>
      </w:r>
      <w:proofErr w:type="gramStart"/>
      <w:r w:rsidRPr="00C01C50">
        <w:rPr>
          <w:rFonts w:ascii="標楷體" w:eastAsia="標楷體" w:hAnsi="標楷體" w:cs="標楷體"/>
          <w:color w:val="000000" w:themeColor="text1"/>
        </w:rPr>
        <w:t>跨境院舍</w:t>
      </w:r>
      <w:proofErr w:type="gramEnd"/>
      <w:r w:rsidRPr="00C01C50">
        <w:rPr>
          <w:rFonts w:ascii="標楷體" w:eastAsia="標楷體" w:hAnsi="標楷體" w:cs="標楷體"/>
          <w:color w:val="000000" w:themeColor="text1"/>
        </w:rPr>
        <w:t>在深圳為老年父母與智障成年子女提供共居院舍服務的意見，結果顯示148名受訪者中，達63.5%表示有意考慮使用該服務。</w:t>
      </w:r>
      <w:r w:rsidRPr="00C01C50">
        <w:rPr>
          <w:rFonts w:ascii="標楷體" w:eastAsia="標楷體" w:hAnsi="標楷體" w:cs="標楷體"/>
          <w:color w:val="000000" w:themeColor="text1"/>
          <w:highlight w:val="white"/>
        </w:rPr>
        <w:t>適逢國家「十五五」規劃明確提出「提升殘疾人保障」，並特別強調「鼓勵有條件的養老機構設立『老年父母+殘疾子女』家庭照護單元」，本會建議特區政府積極推動「以</w:t>
      </w:r>
      <w:proofErr w:type="gramStart"/>
      <w:r w:rsidRPr="00C01C50">
        <w:rPr>
          <w:rFonts w:ascii="標楷體" w:eastAsia="標楷體" w:hAnsi="標楷體" w:cs="標楷體"/>
          <w:color w:val="000000" w:themeColor="text1"/>
          <w:highlight w:val="white"/>
        </w:rPr>
        <w:t>老護殘</w:t>
      </w:r>
      <w:proofErr w:type="gramEnd"/>
      <w:r w:rsidRPr="00C01C50">
        <w:rPr>
          <w:rFonts w:ascii="標楷體" w:eastAsia="標楷體" w:hAnsi="標楷體" w:cs="標楷體"/>
          <w:color w:val="000000" w:themeColor="text1"/>
          <w:highlight w:val="white"/>
        </w:rPr>
        <w:t>」家庭的跨境支援配套，為不同需要的長者與其殘疾家人提供更多元化的安老選擇，確保這些</w:t>
      </w:r>
      <w:proofErr w:type="gramStart"/>
      <w:r w:rsidRPr="00C01C50">
        <w:rPr>
          <w:rFonts w:ascii="標楷體" w:eastAsia="標楷體" w:hAnsi="標楷體" w:cs="標楷體"/>
          <w:color w:val="000000" w:themeColor="text1"/>
          <w:highlight w:val="white"/>
        </w:rPr>
        <w:t>家庭均能實現</w:t>
      </w:r>
      <w:proofErr w:type="gramEnd"/>
      <w:r w:rsidRPr="00C01C50">
        <w:rPr>
          <w:rFonts w:ascii="標楷體" w:eastAsia="標楷體" w:hAnsi="標楷體" w:cs="標楷體"/>
          <w:color w:val="000000" w:themeColor="text1"/>
          <w:highlight w:val="white"/>
        </w:rPr>
        <w:t>在大灣區安享晚年的願景；並就</w:t>
      </w:r>
      <w:proofErr w:type="gramStart"/>
      <w:r w:rsidRPr="00C01C50">
        <w:rPr>
          <w:rFonts w:ascii="標楷體" w:eastAsia="標楷體" w:hAnsi="標楷體" w:cs="標楷體"/>
          <w:color w:val="000000" w:themeColor="text1"/>
          <w:highlight w:val="white"/>
        </w:rPr>
        <w:t>通常居粵的</w:t>
      </w:r>
      <w:proofErr w:type="gramEnd"/>
      <w:r w:rsidRPr="00C01C50">
        <w:rPr>
          <w:rFonts w:ascii="標楷體" w:eastAsia="標楷體" w:hAnsi="標楷體" w:cs="標楷體"/>
          <w:color w:val="000000" w:themeColor="text1"/>
          <w:highlight w:val="white"/>
        </w:rPr>
        <w:t>長者進行全面，不限於醫療服務使用情況的調查，以了解概況及所需支援。本會就此提出以下建議：</w:t>
      </w:r>
    </w:p>
    <w:p w14:paraId="67F378E0" w14:textId="77777777" w:rsidR="00EB79C3" w:rsidRPr="00C01C50" w:rsidRDefault="00EB79C3">
      <w:pPr>
        <w:widowControl/>
        <w:rPr>
          <w:rFonts w:ascii="標楷體" w:eastAsia="標楷體" w:hAnsi="標楷體" w:cs="標楷體"/>
          <w:color w:val="000000" w:themeColor="text1"/>
          <w:highlight w:val="white"/>
        </w:rPr>
      </w:pPr>
    </w:p>
    <w:p w14:paraId="027114E7" w14:textId="77777777" w:rsidR="00EB79C3" w:rsidRPr="00C01C50" w:rsidRDefault="00000000">
      <w:pPr>
        <w:widowControl/>
        <w:ind w:left="-141"/>
        <w:rPr>
          <w:rFonts w:ascii="標楷體" w:eastAsia="標楷體" w:hAnsi="標楷體" w:cs="標楷體"/>
          <w:color w:val="000000" w:themeColor="text1"/>
          <w:highlight w:val="white"/>
          <w:u w:val="single"/>
        </w:rPr>
      </w:pPr>
      <w:r w:rsidRPr="00C01C50">
        <w:rPr>
          <w:rFonts w:ascii="標楷體" w:eastAsia="標楷體" w:hAnsi="標楷體" w:cs="標楷體"/>
          <w:color w:val="000000" w:themeColor="text1"/>
          <w:highlight w:val="white"/>
          <w:u w:val="single"/>
        </w:rPr>
        <w:t>積極推動多元跨境養老模式</w:t>
      </w:r>
    </w:p>
    <w:p w14:paraId="473B8822" w14:textId="77777777" w:rsidR="00EB79C3" w:rsidRPr="00C01C50" w:rsidRDefault="00000000">
      <w:pPr>
        <w:widowControl/>
        <w:numPr>
          <w:ilvl w:val="0"/>
          <w:numId w:val="27"/>
        </w:numPr>
        <w:rPr>
          <w:rFonts w:ascii="標楷體" w:eastAsia="標楷體" w:hAnsi="標楷體" w:cs="標楷體"/>
          <w:color w:val="000000" w:themeColor="text1"/>
        </w:rPr>
      </w:pPr>
      <w:r w:rsidRPr="00C01C50">
        <w:rPr>
          <w:rFonts w:ascii="標楷體" w:eastAsia="標楷體" w:hAnsi="標楷體" w:cs="標楷體"/>
          <w:color w:val="000000" w:themeColor="text1"/>
          <w:highlight w:val="white"/>
        </w:rPr>
        <w:t>配合國家「十五五」規劃支援認可服務機構</w:t>
      </w:r>
      <w:r w:rsidRPr="00C01C50">
        <w:rPr>
          <w:rFonts w:ascii="標楷體" w:eastAsia="標楷體" w:hAnsi="標楷體" w:cs="標楷體"/>
          <w:b/>
          <w:bCs/>
          <w:color w:val="000000" w:themeColor="text1"/>
          <w:highlight w:val="white"/>
        </w:rPr>
        <w:t>開展「老年父母+殘疾子女」跨境家庭照護服務</w:t>
      </w:r>
      <w:r w:rsidRPr="00C01C50">
        <w:rPr>
          <w:rFonts w:ascii="標楷體" w:eastAsia="標楷體" w:hAnsi="標楷體" w:cs="標楷體"/>
          <w:color w:val="000000" w:themeColor="text1"/>
        </w:rPr>
        <w:t>：</w:t>
      </w:r>
    </w:p>
    <w:p w14:paraId="51E24C41" w14:textId="77777777" w:rsidR="00EB79C3" w:rsidRPr="00C01C50" w:rsidRDefault="00000000">
      <w:pPr>
        <w:widowControl/>
        <w:numPr>
          <w:ilvl w:val="1"/>
          <w:numId w:val="27"/>
        </w:numPr>
        <w:ind w:left="992"/>
        <w:rPr>
          <w:rFonts w:ascii="標楷體" w:eastAsia="標楷體" w:hAnsi="標楷體" w:cs="標楷體"/>
          <w:color w:val="000000" w:themeColor="text1"/>
        </w:rPr>
      </w:pPr>
      <w:r w:rsidRPr="00C01C50">
        <w:rPr>
          <w:rFonts w:ascii="標楷體" w:eastAsia="標楷體" w:hAnsi="標楷體" w:cs="標楷體"/>
          <w:color w:val="000000" w:themeColor="text1"/>
        </w:rPr>
        <w:t>政府牽頭研究設立以香港市民為對象的</w:t>
      </w:r>
      <w:r w:rsidRPr="00C01C50">
        <w:rPr>
          <w:rFonts w:ascii="標楷體" w:eastAsia="標楷體" w:hAnsi="標楷體" w:cs="標楷體"/>
          <w:color w:val="000000" w:themeColor="text1"/>
          <w:highlight w:val="white"/>
        </w:rPr>
        <w:t>「老年父母+殘疾子女」跨境家庭照護服務，並</w:t>
      </w:r>
      <w:r w:rsidRPr="00C01C50">
        <w:rPr>
          <w:rFonts w:ascii="標楷體" w:eastAsia="標楷體" w:hAnsi="標楷體" w:cs="標楷體"/>
          <w:color w:val="000000" w:themeColor="text1"/>
        </w:rPr>
        <w:t>推行及資助試點計劃以測驗其可行性；</w:t>
      </w:r>
    </w:p>
    <w:p w14:paraId="71944A87" w14:textId="77777777" w:rsidR="00EB79C3" w:rsidRPr="00C01C50" w:rsidRDefault="00000000">
      <w:pPr>
        <w:widowControl/>
        <w:numPr>
          <w:ilvl w:val="1"/>
          <w:numId w:val="27"/>
        </w:numPr>
        <w:ind w:left="992"/>
        <w:rPr>
          <w:rFonts w:ascii="標楷體" w:eastAsia="標楷體" w:hAnsi="標楷體" w:cs="標楷體"/>
          <w:color w:val="000000" w:themeColor="text1"/>
        </w:rPr>
      </w:pPr>
      <w:r w:rsidRPr="00C01C50">
        <w:rPr>
          <w:rFonts w:ascii="標楷體" w:eastAsia="標楷體" w:hAnsi="標楷體" w:cs="標楷體"/>
          <w:color w:val="000000" w:themeColor="text1"/>
        </w:rPr>
        <w:t>支援有意開展該模式</w:t>
      </w:r>
      <w:proofErr w:type="gramStart"/>
      <w:r w:rsidRPr="00C01C50">
        <w:rPr>
          <w:rFonts w:ascii="標楷體" w:eastAsia="標楷體" w:hAnsi="標楷體" w:cs="標楷體"/>
          <w:color w:val="000000" w:themeColor="text1"/>
        </w:rPr>
        <w:t>的營辦者</w:t>
      </w:r>
      <w:proofErr w:type="gramEnd"/>
      <w:r w:rsidRPr="00C01C50">
        <w:rPr>
          <w:rFonts w:ascii="標楷體" w:eastAsia="標楷體" w:hAnsi="標楷體" w:cs="標楷體"/>
          <w:color w:val="000000" w:themeColor="text1"/>
        </w:rPr>
        <w:t>與內地有關政府機構的協調工作；</w:t>
      </w:r>
    </w:p>
    <w:p w14:paraId="60FC12FA" w14:textId="77777777" w:rsidR="00EB79C3" w:rsidRPr="00C01C50" w:rsidRDefault="00000000">
      <w:pPr>
        <w:widowControl/>
        <w:numPr>
          <w:ilvl w:val="1"/>
          <w:numId w:val="27"/>
        </w:numPr>
        <w:ind w:left="992"/>
        <w:rPr>
          <w:rFonts w:ascii="標楷體" w:eastAsia="標楷體" w:hAnsi="標楷體" w:cs="標楷體"/>
          <w:color w:val="000000" w:themeColor="text1"/>
        </w:rPr>
      </w:pPr>
      <w:r w:rsidRPr="00C01C50">
        <w:rPr>
          <w:rFonts w:ascii="標楷體" w:eastAsia="標楷體" w:hAnsi="標楷體" w:cs="標楷體"/>
          <w:color w:val="000000" w:themeColor="text1"/>
        </w:rPr>
        <w:t>循序漸進擴展殘疾人士福利及醫療援助適用範圍至大灣區。</w:t>
      </w:r>
    </w:p>
    <w:p w14:paraId="4170FD6D" w14:textId="77777777" w:rsidR="00EB79C3" w:rsidRPr="00C01C50" w:rsidRDefault="00EB79C3">
      <w:pPr>
        <w:widowControl/>
        <w:rPr>
          <w:rFonts w:ascii="標楷體" w:eastAsia="標楷體" w:hAnsi="標楷體" w:cs="標楷體"/>
          <w:color w:val="000000" w:themeColor="text1"/>
        </w:rPr>
      </w:pPr>
    </w:p>
    <w:p w14:paraId="26B71B10" w14:textId="77777777" w:rsidR="00EB79C3" w:rsidRPr="00C01C50" w:rsidRDefault="00000000">
      <w:pPr>
        <w:widowControl/>
        <w:ind w:left="-141"/>
        <w:rPr>
          <w:rFonts w:ascii="標楷體" w:eastAsia="標楷體" w:hAnsi="標楷體" w:cs="標楷體"/>
          <w:color w:val="000000" w:themeColor="text1"/>
          <w:u w:val="single"/>
        </w:rPr>
      </w:pPr>
      <w:r w:rsidRPr="00C01C50">
        <w:rPr>
          <w:rFonts w:ascii="標楷體" w:eastAsia="標楷體" w:hAnsi="標楷體" w:cs="標楷體"/>
          <w:color w:val="000000" w:themeColor="text1"/>
          <w:u w:val="single"/>
        </w:rPr>
        <w:t>了解</w:t>
      </w:r>
      <w:proofErr w:type="gramStart"/>
      <w:r w:rsidRPr="00C01C50">
        <w:rPr>
          <w:rFonts w:ascii="標楷體" w:eastAsia="標楷體" w:hAnsi="標楷體" w:cs="標楷體"/>
          <w:color w:val="000000" w:themeColor="text1"/>
          <w:highlight w:val="white"/>
          <w:u w:val="single"/>
        </w:rPr>
        <w:t>通常居粵長者</w:t>
      </w:r>
      <w:proofErr w:type="gramEnd"/>
      <w:r w:rsidRPr="00C01C50">
        <w:rPr>
          <w:rFonts w:ascii="標楷體" w:eastAsia="標楷體" w:hAnsi="標楷體" w:cs="標楷體"/>
          <w:color w:val="000000" w:themeColor="text1"/>
          <w:highlight w:val="white"/>
          <w:u w:val="single"/>
        </w:rPr>
        <w:t>概況及所需支援</w:t>
      </w:r>
    </w:p>
    <w:p w14:paraId="5995EDD5" w14:textId="77777777" w:rsidR="00EB79C3" w:rsidRPr="00C01C50" w:rsidRDefault="00000000">
      <w:pPr>
        <w:widowControl/>
        <w:numPr>
          <w:ilvl w:val="0"/>
          <w:numId w:val="27"/>
        </w:numPr>
        <w:rPr>
          <w:rFonts w:ascii="標楷體" w:eastAsia="標楷體" w:hAnsi="標楷體" w:cs="標楷體"/>
          <w:color w:val="000000" w:themeColor="text1"/>
        </w:rPr>
      </w:pPr>
      <w:r w:rsidRPr="00C01C50">
        <w:rPr>
          <w:rFonts w:ascii="標楷體" w:eastAsia="標楷體" w:hAnsi="標楷體" w:cs="標楷體"/>
          <w:color w:val="000000" w:themeColor="text1"/>
        </w:rPr>
        <w:t>探討</w:t>
      </w:r>
      <w:r w:rsidRPr="00C01C50">
        <w:rPr>
          <w:rFonts w:ascii="標楷體" w:eastAsia="標楷體" w:hAnsi="標楷體" w:cs="標楷體"/>
          <w:b/>
          <w:bCs/>
          <w:color w:val="000000" w:themeColor="text1"/>
        </w:rPr>
        <w:t>透過廣東</w:t>
      </w:r>
      <w:proofErr w:type="gramStart"/>
      <w:r w:rsidRPr="00C01C50">
        <w:rPr>
          <w:rFonts w:ascii="標楷體" w:eastAsia="標楷體" w:hAnsi="標楷體" w:cs="標楷體"/>
          <w:b/>
          <w:bCs/>
          <w:color w:val="000000" w:themeColor="text1"/>
        </w:rPr>
        <w:t>計劃覆檢過程</w:t>
      </w:r>
      <w:proofErr w:type="gramEnd"/>
      <w:r w:rsidRPr="00C01C50">
        <w:rPr>
          <w:rFonts w:ascii="標楷體" w:eastAsia="標楷體" w:hAnsi="標楷體" w:cs="標楷體"/>
          <w:b/>
          <w:bCs/>
          <w:color w:val="000000" w:themeColor="text1"/>
        </w:rPr>
        <w:t>同步進行</w:t>
      </w:r>
      <w:proofErr w:type="gramStart"/>
      <w:r w:rsidRPr="00C01C50">
        <w:rPr>
          <w:rFonts w:ascii="標楷體" w:eastAsia="標楷體" w:hAnsi="標楷體" w:cs="標楷體"/>
          <w:b/>
          <w:bCs/>
          <w:color w:val="000000" w:themeColor="text1"/>
          <w:highlight w:val="white"/>
        </w:rPr>
        <w:t>通常居粵長者</w:t>
      </w:r>
      <w:proofErr w:type="gramEnd"/>
      <w:r w:rsidRPr="00C01C50">
        <w:rPr>
          <w:rFonts w:ascii="標楷體" w:eastAsia="標楷體" w:hAnsi="標楷體" w:cs="標楷體"/>
          <w:b/>
          <w:bCs/>
          <w:color w:val="000000" w:themeColor="text1"/>
          <w:highlight w:val="white"/>
        </w:rPr>
        <w:t>概況調查</w:t>
      </w:r>
      <w:r w:rsidRPr="00C01C50">
        <w:rPr>
          <w:rFonts w:ascii="標楷體" w:eastAsia="標楷體" w:hAnsi="標楷體" w:cs="標楷體"/>
          <w:color w:val="000000" w:themeColor="text1"/>
          <w:highlight w:val="white"/>
        </w:rPr>
        <w:t>：</w:t>
      </w:r>
    </w:p>
    <w:p w14:paraId="67D1E6FC" w14:textId="77777777" w:rsidR="00EB79C3" w:rsidRPr="00C01C50" w:rsidRDefault="00000000">
      <w:pPr>
        <w:widowControl/>
        <w:numPr>
          <w:ilvl w:val="1"/>
          <w:numId w:val="27"/>
        </w:numPr>
        <w:ind w:left="992"/>
        <w:rPr>
          <w:rFonts w:ascii="標楷體" w:eastAsia="標楷體" w:hAnsi="標楷體" w:cs="標楷體"/>
          <w:color w:val="000000" w:themeColor="text1"/>
        </w:rPr>
      </w:pPr>
      <w:r w:rsidRPr="00C01C50">
        <w:rPr>
          <w:rFonts w:ascii="標楷體" w:eastAsia="標楷體" w:hAnsi="標楷體" w:cs="標楷體"/>
          <w:color w:val="000000" w:themeColor="text1"/>
          <w:highlight w:val="white"/>
        </w:rPr>
        <w:t>除</w:t>
      </w:r>
      <w:r w:rsidRPr="00C01C50">
        <w:rPr>
          <w:rFonts w:ascii="標楷體" w:eastAsia="標楷體" w:hAnsi="標楷體" w:cs="標楷體"/>
          <w:color w:val="000000" w:themeColor="text1"/>
        </w:rPr>
        <w:t>醫療服務使用情況外，涵蓋其居住及流動模式、經濟狀況及社交支援狀況等，以助政府制定更全面及適切的跨境養老支援政策；</w:t>
      </w:r>
    </w:p>
    <w:p w14:paraId="7A972CE2" w14:textId="77777777" w:rsidR="00EB79C3" w:rsidRPr="00C01C50" w:rsidRDefault="00000000">
      <w:pPr>
        <w:widowControl/>
        <w:numPr>
          <w:ilvl w:val="1"/>
          <w:numId w:val="27"/>
        </w:numPr>
        <w:ind w:left="992"/>
        <w:rPr>
          <w:rFonts w:ascii="標楷體" w:eastAsia="標楷體" w:hAnsi="標楷體" w:cs="標楷體"/>
          <w:color w:val="000000" w:themeColor="text1"/>
        </w:rPr>
      </w:pPr>
      <w:r w:rsidRPr="00C01C50">
        <w:rPr>
          <w:rFonts w:ascii="標楷體" w:eastAsia="標楷體" w:hAnsi="標楷體" w:cs="標楷體"/>
          <w:color w:val="000000" w:themeColor="text1"/>
        </w:rPr>
        <w:t>透過調查同步了解</w:t>
      </w:r>
      <w:proofErr w:type="gramStart"/>
      <w:r w:rsidRPr="00C01C50">
        <w:rPr>
          <w:rFonts w:ascii="標楷體" w:eastAsia="標楷體" w:hAnsi="標楷體" w:cs="標楷體"/>
          <w:color w:val="000000" w:themeColor="text1"/>
          <w:highlight w:val="white"/>
        </w:rPr>
        <w:t>通常居粵</w:t>
      </w:r>
      <w:r w:rsidRPr="00C01C50">
        <w:rPr>
          <w:rFonts w:ascii="標楷體" w:eastAsia="標楷體" w:hAnsi="標楷體" w:cs="標楷體"/>
          <w:color w:val="000000" w:themeColor="text1"/>
        </w:rPr>
        <w:t>長者</w:t>
      </w:r>
      <w:proofErr w:type="gramEnd"/>
      <w:r w:rsidRPr="00C01C50">
        <w:rPr>
          <w:rFonts w:ascii="標楷體" w:eastAsia="標楷體" w:hAnsi="標楷體" w:cs="標楷體"/>
          <w:color w:val="000000" w:themeColor="text1"/>
        </w:rPr>
        <w:t>的長期照顧需要，探討將長者社區照顧服務</w:t>
      </w:r>
      <w:proofErr w:type="gramStart"/>
      <w:r w:rsidRPr="00C01C50">
        <w:rPr>
          <w:rFonts w:ascii="標楷體" w:eastAsia="標楷體" w:hAnsi="標楷體" w:cs="標楷體"/>
          <w:color w:val="000000" w:themeColor="text1"/>
        </w:rPr>
        <w:t>券</w:t>
      </w:r>
      <w:proofErr w:type="gramEnd"/>
      <w:r w:rsidRPr="00C01C50">
        <w:rPr>
          <w:rFonts w:ascii="標楷體" w:eastAsia="標楷體" w:hAnsi="標楷體" w:cs="標楷體"/>
          <w:color w:val="000000" w:themeColor="text1"/>
        </w:rPr>
        <w:t>計劃擴展至廣東省及物色在粵服務提供機構。</w:t>
      </w:r>
    </w:p>
    <w:p w14:paraId="14A1C40E" w14:textId="77777777" w:rsidR="00EB79C3" w:rsidRPr="00C01C50" w:rsidRDefault="00EB79C3">
      <w:pPr>
        <w:widowControl/>
        <w:rPr>
          <w:rFonts w:ascii="標楷體" w:eastAsia="標楷體" w:hAnsi="標楷體" w:cs="標楷體"/>
          <w:color w:val="000000" w:themeColor="text1"/>
          <w:highlight w:val="white"/>
        </w:rPr>
      </w:pPr>
    </w:p>
    <w:p w14:paraId="1CEAFA92" w14:textId="77777777" w:rsidR="00EB79C3" w:rsidRPr="00C01C50" w:rsidRDefault="00000000">
      <w:pPr>
        <w:widowControl/>
        <w:ind w:left="-141"/>
        <w:rPr>
          <w:rFonts w:ascii="標楷體" w:eastAsia="標楷體" w:hAnsi="標楷體" w:cs="標楷體"/>
          <w:color w:val="000000" w:themeColor="text1"/>
          <w:u w:val="single"/>
        </w:rPr>
      </w:pPr>
      <w:r w:rsidRPr="00C01C50">
        <w:rPr>
          <w:rFonts w:ascii="標楷體" w:eastAsia="標楷體" w:hAnsi="標楷體" w:cs="標楷體"/>
          <w:color w:val="000000" w:themeColor="text1"/>
          <w:u w:val="single"/>
        </w:rPr>
        <w:t>持續深化醫療支援及推動福利政策和資訊「軟聯通」</w:t>
      </w:r>
    </w:p>
    <w:p w14:paraId="7D9B7054" w14:textId="77777777" w:rsidR="00EB79C3" w:rsidRPr="00C01C50" w:rsidRDefault="00000000">
      <w:pPr>
        <w:widowControl/>
        <w:numPr>
          <w:ilvl w:val="0"/>
          <w:numId w:val="27"/>
        </w:numPr>
        <w:rPr>
          <w:rFonts w:ascii="標楷體" w:eastAsia="標楷體" w:hAnsi="標楷體" w:cs="標楷體"/>
          <w:color w:val="000000" w:themeColor="text1"/>
          <w:highlight w:val="white"/>
        </w:rPr>
      </w:pPr>
      <w:proofErr w:type="gramStart"/>
      <w:r w:rsidRPr="00C01C50">
        <w:rPr>
          <w:rFonts w:ascii="標楷體" w:eastAsia="標楷體" w:hAnsi="標楷體" w:cs="標楷體"/>
          <w:color w:val="000000" w:themeColor="text1"/>
          <w:highlight w:val="white"/>
        </w:rPr>
        <w:t>擴</w:t>
      </w:r>
      <w:r w:rsidRPr="00C01C50">
        <w:rPr>
          <w:rFonts w:ascii="標楷體" w:eastAsia="標楷體" w:hAnsi="標楷體" w:cs="標楷體"/>
          <w:b/>
          <w:bCs/>
          <w:color w:val="000000" w:themeColor="text1"/>
          <w:highlight w:val="white"/>
        </w:rPr>
        <w:t>展社署</w:t>
      </w:r>
      <w:proofErr w:type="gramEnd"/>
      <w:r w:rsidRPr="00C01C50">
        <w:rPr>
          <w:rFonts w:ascii="標楷體" w:eastAsia="標楷體" w:hAnsi="標楷體" w:cs="標楷體"/>
          <w:b/>
          <w:bCs/>
          <w:color w:val="000000" w:themeColor="text1"/>
          <w:highlight w:val="white"/>
        </w:rPr>
        <w:t>「醫療補貼試行安排」至廣東院舍照顧服務計劃外的在粵居住長者</w:t>
      </w:r>
      <w:r w:rsidRPr="00C01C50">
        <w:rPr>
          <w:rFonts w:ascii="標楷體" w:eastAsia="標楷體" w:hAnsi="標楷體" w:cs="標楷體"/>
          <w:color w:val="000000" w:themeColor="text1"/>
          <w:highlight w:val="white"/>
        </w:rPr>
        <w:t>。</w:t>
      </w:r>
    </w:p>
    <w:p w14:paraId="4F3136AF" w14:textId="77777777" w:rsidR="00EB79C3" w:rsidRPr="00C01C50" w:rsidRDefault="00EB79C3">
      <w:pPr>
        <w:widowControl/>
        <w:ind w:left="283"/>
        <w:rPr>
          <w:rFonts w:ascii="標楷體" w:eastAsia="標楷體" w:hAnsi="標楷體" w:cs="標楷體"/>
          <w:color w:val="000000" w:themeColor="text1"/>
          <w:highlight w:val="white"/>
        </w:rPr>
      </w:pPr>
    </w:p>
    <w:p w14:paraId="2E0BAE45" w14:textId="77777777" w:rsidR="00EB79C3" w:rsidRPr="00C01C50" w:rsidRDefault="00000000">
      <w:pPr>
        <w:widowControl/>
        <w:numPr>
          <w:ilvl w:val="0"/>
          <w:numId w:val="27"/>
        </w:numPr>
        <w:rPr>
          <w:rFonts w:ascii="標楷體" w:eastAsia="標楷體" w:hAnsi="標楷體" w:cs="標楷體"/>
          <w:color w:val="000000" w:themeColor="text1"/>
          <w:highlight w:val="white"/>
        </w:rPr>
      </w:pPr>
      <w:r w:rsidRPr="00C01C50">
        <w:rPr>
          <w:rFonts w:ascii="標楷體" w:eastAsia="標楷體" w:hAnsi="標楷體" w:cs="標楷體"/>
          <w:color w:val="000000" w:themeColor="text1"/>
        </w:rPr>
        <w:t>循序</w:t>
      </w:r>
      <w:r w:rsidRPr="00C01C50">
        <w:rPr>
          <w:rFonts w:ascii="標楷體" w:eastAsia="標楷體" w:hAnsi="標楷體" w:cs="標楷體"/>
          <w:b/>
          <w:bCs/>
          <w:color w:val="000000" w:themeColor="text1"/>
          <w:highlight w:val="white"/>
        </w:rPr>
        <w:t>增加醫院管理局「</w:t>
      </w:r>
      <w:proofErr w:type="gramStart"/>
      <w:r w:rsidRPr="00C01C50">
        <w:rPr>
          <w:rFonts w:ascii="標楷體" w:eastAsia="標楷體" w:hAnsi="標楷體" w:cs="標楷體"/>
          <w:b/>
          <w:bCs/>
          <w:color w:val="000000" w:themeColor="text1"/>
          <w:highlight w:val="white"/>
        </w:rPr>
        <w:t>支援粵</w:t>
      </w:r>
      <w:proofErr w:type="gramEnd"/>
      <w:r w:rsidRPr="00C01C50">
        <w:rPr>
          <w:rFonts w:ascii="標楷體" w:eastAsia="標楷體" w:hAnsi="標楷體" w:cs="標楷體"/>
          <w:b/>
          <w:bCs/>
          <w:color w:val="000000" w:themeColor="text1"/>
          <w:highlight w:val="white"/>
        </w:rPr>
        <w:t>港澳大灣區醫院管理局病人先導計劃」的適用醫院</w:t>
      </w:r>
      <w:r w:rsidRPr="00C01C50">
        <w:rPr>
          <w:rFonts w:ascii="標楷體" w:eastAsia="標楷體" w:hAnsi="標楷體" w:cs="標楷體"/>
          <w:color w:val="000000" w:themeColor="text1"/>
          <w:highlight w:val="white"/>
        </w:rPr>
        <w:t>，以便利合資格的病人（即已預約</w:t>
      </w:r>
      <w:proofErr w:type="gramStart"/>
      <w:r w:rsidRPr="00C01C50">
        <w:rPr>
          <w:rFonts w:ascii="標楷體" w:eastAsia="標楷體" w:hAnsi="標楷體" w:cs="標楷體"/>
          <w:color w:val="000000" w:themeColor="text1"/>
          <w:highlight w:val="white"/>
        </w:rPr>
        <w:t>醫</w:t>
      </w:r>
      <w:proofErr w:type="gramEnd"/>
      <w:r w:rsidRPr="00C01C50">
        <w:rPr>
          <w:rFonts w:ascii="標楷體" w:eastAsia="標楷體" w:hAnsi="標楷體" w:cs="標楷體"/>
          <w:color w:val="000000" w:themeColor="text1"/>
          <w:highlight w:val="white"/>
        </w:rPr>
        <w:t>管局指定專科門診或家庭醫學門診覆診的病人）可選擇於</w:t>
      </w:r>
      <w:proofErr w:type="gramStart"/>
      <w:r w:rsidRPr="00C01C50">
        <w:rPr>
          <w:rFonts w:ascii="標楷體" w:eastAsia="標楷體" w:hAnsi="標楷體" w:cs="標楷體"/>
          <w:color w:val="000000" w:themeColor="text1"/>
          <w:highlight w:val="white"/>
        </w:rPr>
        <w:t>更多粵港澳</w:t>
      </w:r>
      <w:proofErr w:type="gramEnd"/>
      <w:r w:rsidRPr="00C01C50">
        <w:rPr>
          <w:rFonts w:ascii="標楷體" w:eastAsia="標楷體" w:hAnsi="標楷體" w:cs="標楷體"/>
          <w:color w:val="000000" w:themeColor="text1"/>
          <w:highlight w:val="white"/>
        </w:rPr>
        <w:t>大灣區醫療機構接受</w:t>
      </w:r>
      <w:proofErr w:type="gramStart"/>
      <w:r w:rsidRPr="00C01C50">
        <w:rPr>
          <w:rFonts w:ascii="標楷體" w:eastAsia="標楷體" w:hAnsi="標楷體" w:cs="標楷體"/>
          <w:color w:val="000000" w:themeColor="text1"/>
          <w:highlight w:val="white"/>
        </w:rPr>
        <w:t>資助診症服務</w:t>
      </w:r>
      <w:proofErr w:type="gramEnd"/>
      <w:r w:rsidRPr="00C01C50">
        <w:rPr>
          <w:rFonts w:ascii="標楷體" w:eastAsia="標楷體" w:hAnsi="標楷體" w:cs="標楷體"/>
          <w:color w:val="000000" w:themeColor="text1"/>
          <w:highlight w:val="white"/>
        </w:rPr>
        <w:t>。</w:t>
      </w:r>
    </w:p>
    <w:p w14:paraId="1129469D" w14:textId="77777777" w:rsidR="00EB79C3" w:rsidRPr="00C01C50" w:rsidRDefault="00EB79C3">
      <w:pPr>
        <w:widowControl/>
        <w:ind w:left="283"/>
        <w:rPr>
          <w:rFonts w:ascii="標楷體" w:eastAsia="標楷體" w:hAnsi="標楷體" w:cs="標楷體"/>
          <w:color w:val="000000" w:themeColor="text1"/>
          <w:highlight w:val="white"/>
        </w:rPr>
      </w:pPr>
    </w:p>
    <w:p w14:paraId="7786BBB1" w14:textId="77777777" w:rsidR="00EB79C3" w:rsidRPr="00C01C50" w:rsidRDefault="00000000">
      <w:pPr>
        <w:widowControl/>
        <w:numPr>
          <w:ilvl w:val="0"/>
          <w:numId w:val="27"/>
        </w:numPr>
        <w:rPr>
          <w:rFonts w:ascii="標楷體" w:eastAsia="標楷體" w:hAnsi="標楷體" w:cs="標楷體"/>
          <w:color w:val="000000" w:themeColor="text1"/>
          <w:highlight w:val="white"/>
        </w:rPr>
      </w:pPr>
      <w:r w:rsidRPr="00C01C50">
        <w:rPr>
          <w:rFonts w:ascii="標楷體" w:eastAsia="標楷體" w:hAnsi="標楷體" w:cs="標楷體"/>
          <w:color w:val="000000" w:themeColor="text1"/>
          <w:highlight w:val="white"/>
        </w:rPr>
        <w:t>研究</w:t>
      </w:r>
      <w:r w:rsidRPr="00C01C50">
        <w:rPr>
          <w:rFonts w:ascii="標楷體" w:eastAsia="標楷體" w:hAnsi="標楷體" w:cs="標楷體"/>
          <w:b/>
          <w:bCs/>
          <w:color w:val="000000" w:themeColor="text1"/>
          <w:highlight w:val="white"/>
        </w:rPr>
        <w:t>適度提供供養父母免稅額</w:t>
      </w:r>
      <w:r w:rsidRPr="00C01C50">
        <w:rPr>
          <w:rFonts w:ascii="標楷體" w:eastAsia="標楷體" w:hAnsi="標楷體" w:cs="標楷體"/>
          <w:color w:val="000000" w:themeColor="text1"/>
          <w:highlight w:val="white"/>
        </w:rPr>
        <w:t>或長者住宿照顧開支扣除予</w:t>
      </w:r>
      <w:proofErr w:type="gramStart"/>
      <w:r w:rsidRPr="00C01C50">
        <w:rPr>
          <w:rFonts w:ascii="標楷體" w:eastAsia="標楷體" w:hAnsi="標楷體" w:cs="標楷體"/>
          <w:color w:val="000000" w:themeColor="text1"/>
          <w:highlight w:val="white"/>
        </w:rPr>
        <w:t>通常居粵長者</w:t>
      </w:r>
      <w:proofErr w:type="gramEnd"/>
      <w:r w:rsidRPr="00C01C50">
        <w:rPr>
          <w:rFonts w:ascii="標楷體" w:eastAsia="標楷體" w:hAnsi="標楷體" w:cs="標楷體"/>
          <w:color w:val="000000" w:themeColor="text1"/>
          <w:highlight w:val="white"/>
        </w:rPr>
        <w:t>的子女。</w:t>
      </w:r>
    </w:p>
    <w:p w14:paraId="06DB5A28" w14:textId="77777777" w:rsidR="00EB79C3" w:rsidRPr="00C01C50" w:rsidRDefault="00EB79C3">
      <w:pPr>
        <w:widowControl/>
        <w:ind w:left="283"/>
        <w:rPr>
          <w:rFonts w:ascii="標楷體" w:eastAsia="標楷體" w:hAnsi="標楷體" w:cs="標楷體"/>
          <w:color w:val="000000" w:themeColor="text1"/>
          <w:highlight w:val="white"/>
        </w:rPr>
      </w:pPr>
    </w:p>
    <w:p w14:paraId="281E76E4" w14:textId="77777777" w:rsidR="00EB79C3" w:rsidRPr="00C01C50" w:rsidRDefault="00000000">
      <w:pPr>
        <w:widowControl/>
        <w:numPr>
          <w:ilvl w:val="0"/>
          <w:numId w:val="27"/>
        </w:numPr>
        <w:rPr>
          <w:rFonts w:ascii="標楷體" w:eastAsia="標楷體" w:hAnsi="標楷體" w:cs="標楷體"/>
          <w:color w:val="000000" w:themeColor="text1"/>
        </w:rPr>
        <w:sectPr w:rsidR="00EB79C3" w:rsidRPr="00C01C50">
          <w:pgSz w:w="11906" w:h="16838"/>
          <w:pgMar w:top="1440" w:right="1440" w:bottom="1440" w:left="1440" w:header="851" w:footer="992" w:gutter="0"/>
          <w:cols w:space="720"/>
        </w:sectPr>
      </w:pPr>
      <w:r w:rsidRPr="00C01C50">
        <w:rPr>
          <w:rFonts w:ascii="標楷體" w:eastAsia="標楷體" w:hAnsi="標楷體" w:cs="標楷體"/>
          <w:b/>
          <w:bCs/>
          <w:color w:val="000000" w:themeColor="text1"/>
        </w:rPr>
        <w:lastRenderedPageBreak/>
        <w:t>擴展</w:t>
      </w:r>
      <w:proofErr w:type="gramStart"/>
      <w:r w:rsidRPr="00C01C50">
        <w:rPr>
          <w:rFonts w:ascii="標楷體" w:eastAsia="標楷體" w:hAnsi="標楷體" w:cs="標楷體"/>
          <w:b/>
          <w:bCs/>
          <w:color w:val="000000" w:themeColor="text1"/>
        </w:rPr>
        <w:t>醫健通</w:t>
      </w:r>
      <w:proofErr w:type="gramEnd"/>
      <w:r w:rsidRPr="00C01C50">
        <w:rPr>
          <w:rFonts w:ascii="標楷體" w:eastAsia="標楷體" w:hAnsi="標楷體" w:cs="標楷體"/>
          <w:b/>
          <w:bCs/>
          <w:color w:val="000000" w:themeColor="text1"/>
        </w:rPr>
        <w:t>流動應用程式內的「跨境健康紀錄」及「個人資料夾」功能到更多港人熱門就醫的境外醫療機構</w:t>
      </w:r>
      <w:r w:rsidRPr="00C01C50">
        <w:rPr>
          <w:rFonts w:ascii="標楷體" w:eastAsia="標楷體" w:hAnsi="標楷體" w:cs="標楷體"/>
          <w:color w:val="000000" w:themeColor="text1"/>
        </w:rPr>
        <w:t>，以便安全地跨境使用電子健康紀錄。</w:t>
      </w:r>
    </w:p>
    <w:p w14:paraId="33C3D1CF" w14:textId="77777777" w:rsidR="00EB79C3" w:rsidRPr="00C01C50" w:rsidRDefault="00000000">
      <w:pPr>
        <w:widowControl/>
        <w:spacing w:after="120"/>
        <w:jc w:val="center"/>
        <w:rPr>
          <w:rFonts w:ascii="標楷體" w:eastAsia="標楷體" w:hAnsi="標楷體" w:cs="標楷體"/>
          <w:b/>
          <w:bCs/>
          <w:color w:val="000000" w:themeColor="text1"/>
        </w:rPr>
      </w:pPr>
      <w:r w:rsidRPr="00C01C50">
        <w:rPr>
          <w:rFonts w:ascii="標楷體" w:eastAsia="標楷體" w:hAnsi="標楷體" w:cs="標楷體"/>
          <w:b/>
          <w:bCs/>
          <w:color w:val="000000" w:themeColor="text1"/>
        </w:rPr>
        <w:lastRenderedPageBreak/>
        <w:t>（8）晚期照顧及臨終護理支援</w:t>
      </w:r>
    </w:p>
    <w:p w14:paraId="7A54C8E3" w14:textId="77777777" w:rsidR="00EB79C3" w:rsidRPr="00C01C50" w:rsidRDefault="00000000">
      <w:pPr>
        <w:widowControl/>
        <w:spacing w:after="120"/>
        <w:ind w:firstLine="496"/>
        <w:rPr>
          <w:rFonts w:ascii="標楷體" w:eastAsia="標楷體" w:hAnsi="標楷體" w:cs="標楷體"/>
          <w:color w:val="000000" w:themeColor="text1"/>
        </w:rPr>
      </w:pPr>
      <w:r w:rsidRPr="00C01C50">
        <w:rPr>
          <w:rFonts w:ascii="標楷體" w:eastAsia="標楷體" w:hAnsi="標楷體" w:cs="標楷體"/>
          <w:color w:val="000000" w:themeColor="text1"/>
        </w:rPr>
        <w:t>為迎接剛實施的《維持生命治療的預作決定條例》（下稱《條例》），各持分者於過去一年半已積極作出準備，包括為急救人員及</w:t>
      </w:r>
      <w:proofErr w:type="gramStart"/>
      <w:r w:rsidRPr="00C01C50">
        <w:rPr>
          <w:rFonts w:ascii="標楷體" w:eastAsia="標楷體" w:hAnsi="標楷體" w:cs="標楷體"/>
          <w:color w:val="000000" w:themeColor="text1"/>
        </w:rPr>
        <w:t>醫</w:t>
      </w:r>
      <w:proofErr w:type="gramEnd"/>
      <w:r w:rsidRPr="00C01C50">
        <w:rPr>
          <w:rFonts w:ascii="標楷體" w:eastAsia="標楷體" w:hAnsi="標楷體" w:cs="標楷體"/>
          <w:color w:val="000000" w:themeColor="text1"/>
        </w:rPr>
        <w:t>管局各聯網員工提供相關培訓；香港醫學專科學院亦已發布「預設醫療指示最佳實踐指引」，並舉辦多場業界研討會。然而，有調查顯示公眾對維持生命治療及</w:t>
      </w:r>
      <w:proofErr w:type="gramStart"/>
      <w:r w:rsidRPr="00C01C50">
        <w:rPr>
          <w:rFonts w:ascii="標楷體" w:eastAsia="標楷體" w:hAnsi="標楷體" w:cs="標楷體"/>
          <w:color w:val="000000" w:themeColor="text1"/>
        </w:rPr>
        <w:t>紓</w:t>
      </w:r>
      <w:proofErr w:type="gramEnd"/>
      <w:r w:rsidRPr="00C01C50">
        <w:rPr>
          <w:rFonts w:ascii="標楷體" w:eastAsia="標楷體" w:hAnsi="標楷體" w:cs="標楷體"/>
          <w:color w:val="000000" w:themeColor="text1"/>
        </w:rPr>
        <w:t>緩服務的認知仍然不足</w:t>
      </w:r>
      <w:r w:rsidRPr="00C01C50">
        <w:rPr>
          <w:rFonts w:ascii="標楷體" w:eastAsia="標楷體" w:hAnsi="標楷體" w:cs="標楷體"/>
          <w:color w:val="000000" w:themeColor="text1"/>
          <w:vertAlign w:val="superscript"/>
        </w:rPr>
        <w:footnoteReference w:id="9"/>
      </w:r>
      <w:r w:rsidRPr="00C01C50">
        <w:rPr>
          <w:rFonts w:ascii="標楷體" w:eastAsia="標楷體" w:hAnsi="標楷體" w:cs="標楷體"/>
          <w:color w:val="000000" w:themeColor="text1"/>
        </w:rPr>
        <w:t>；本會前線同工經驗亦反映，部分長期病患者在訂立「預設醫療指示」時仍面對不同障礙</w:t>
      </w:r>
      <w:r w:rsidRPr="00C01C50">
        <w:rPr>
          <w:rFonts w:ascii="標楷體" w:eastAsia="標楷體" w:hAnsi="標楷體" w:cs="標楷體"/>
          <w:color w:val="000000" w:themeColor="text1"/>
          <w:vertAlign w:val="superscript"/>
        </w:rPr>
        <w:footnoteReference w:id="10"/>
      </w:r>
      <w:r w:rsidRPr="00C01C50">
        <w:rPr>
          <w:rFonts w:ascii="標楷體" w:eastAsia="標楷體" w:hAnsi="標楷體" w:cs="標楷體"/>
          <w:color w:val="000000" w:themeColor="text1"/>
          <w:highlight w:val="white"/>
        </w:rPr>
        <w:t>，且晚期照顧病患者通常在離</w:t>
      </w:r>
      <w:proofErr w:type="gramStart"/>
      <w:r w:rsidRPr="00C01C50">
        <w:rPr>
          <w:rFonts w:ascii="標楷體" w:eastAsia="標楷體" w:hAnsi="標楷體" w:cs="標楷體"/>
          <w:color w:val="000000" w:themeColor="text1"/>
          <w:highlight w:val="white"/>
        </w:rPr>
        <w:t>世</w:t>
      </w:r>
      <w:proofErr w:type="gramEnd"/>
      <w:r w:rsidRPr="00C01C50">
        <w:rPr>
          <w:rFonts w:ascii="標楷體" w:eastAsia="標楷體" w:hAnsi="標楷體" w:cs="標楷體"/>
          <w:color w:val="000000" w:themeColor="text1"/>
          <w:highlight w:val="white"/>
        </w:rPr>
        <w:t>前半年內僅住院約一個月</w:t>
      </w:r>
      <w:r w:rsidRPr="00C01C50">
        <w:rPr>
          <w:rFonts w:ascii="標楷體" w:eastAsia="標楷體" w:hAnsi="標楷體" w:cs="標楷體"/>
          <w:color w:val="000000" w:themeColor="text1"/>
          <w:highlight w:val="white"/>
          <w:vertAlign w:val="superscript"/>
        </w:rPr>
        <w:footnoteReference w:id="11"/>
      </w:r>
      <w:r w:rsidRPr="00C01C50">
        <w:rPr>
          <w:rFonts w:ascii="標楷體" w:eastAsia="標楷體" w:hAnsi="標楷體" w:cs="標楷體"/>
          <w:color w:val="000000" w:themeColor="text1"/>
          <w:highlight w:val="white"/>
        </w:rPr>
        <w:t>，社區層面能夠提供身心</w:t>
      </w:r>
      <w:proofErr w:type="gramStart"/>
      <w:r w:rsidRPr="00C01C50">
        <w:rPr>
          <w:rFonts w:ascii="標楷體" w:eastAsia="標楷體" w:hAnsi="標楷體" w:cs="標楷體"/>
          <w:color w:val="000000" w:themeColor="text1"/>
          <w:highlight w:val="white"/>
        </w:rPr>
        <w:t>社靈關顧</w:t>
      </w:r>
      <w:proofErr w:type="gramEnd"/>
      <w:r w:rsidRPr="00C01C50">
        <w:rPr>
          <w:rFonts w:ascii="標楷體" w:eastAsia="標楷體" w:hAnsi="標楷體" w:cs="標楷體"/>
          <w:color w:val="000000" w:themeColor="text1"/>
          <w:highlight w:val="white"/>
        </w:rPr>
        <w:t>的晚期照顧服務需求尤為迫切</w:t>
      </w:r>
      <w:r w:rsidRPr="00C01C50">
        <w:rPr>
          <w:rFonts w:ascii="標楷體" w:eastAsia="標楷體" w:hAnsi="標楷體" w:cs="標楷體"/>
          <w:color w:val="000000" w:themeColor="text1"/>
        </w:rPr>
        <w:t>。</w:t>
      </w:r>
    </w:p>
    <w:p w14:paraId="21ABB2BD" w14:textId="77777777" w:rsidR="00EB79C3" w:rsidRPr="00C01C50" w:rsidRDefault="00000000">
      <w:pPr>
        <w:widowControl/>
        <w:spacing w:after="120"/>
        <w:ind w:firstLine="496"/>
        <w:rPr>
          <w:rFonts w:ascii="標楷體" w:eastAsia="標楷體" w:hAnsi="標楷體" w:cs="標楷體"/>
          <w:color w:val="000000" w:themeColor="text1"/>
        </w:rPr>
      </w:pPr>
      <w:r w:rsidRPr="00C01C50">
        <w:rPr>
          <w:rFonts w:ascii="標楷體" w:eastAsia="標楷體" w:hAnsi="標楷體" w:cs="標楷體"/>
          <w:color w:val="000000" w:themeColor="text1"/>
        </w:rPr>
        <w:t>為進一步推動病人自主決策的實踐，促進有尊嚴的社區臨終照顧，並對接國家「十五五」規劃中提出擴大安寧療護服務供給的發展方向，本會建議特區政府為《條例》及社區安寧照顧服務的推行及擴充訂立五年的目標，包括：</w:t>
      </w:r>
    </w:p>
    <w:p w14:paraId="52F4C351" w14:textId="77777777" w:rsidR="00EB79C3" w:rsidRPr="00C01C50" w:rsidRDefault="00EB79C3">
      <w:pPr>
        <w:rPr>
          <w:color w:val="000000" w:themeColor="text1"/>
        </w:rPr>
      </w:pPr>
    </w:p>
    <w:p w14:paraId="12F5DF48" w14:textId="77777777" w:rsidR="00EB79C3" w:rsidRPr="00C01C50" w:rsidRDefault="00000000">
      <w:pPr>
        <w:widowControl/>
        <w:spacing w:after="120"/>
        <w:rPr>
          <w:rFonts w:ascii="標楷體" w:eastAsia="標楷體" w:hAnsi="標楷體" w:cs="標楷體"/>
          <w:color w:val="000000" w:themeColor="text1"/>
        </w:rPr>
      </w:pPr>
      <w:r w:rsidRPr="00C01C50">
        <w:rPr>
          <w:rFonts w:ascii="標楷體" w:eastAsia="標楷體" w:hAnsi="標楷體" w:cs="標楷體"/>
          <w:color w:val="000000" w:themeColor="text1"/>
          <w:u w:val="single"/>
        </w:rPr>
        <w:t>為《條例》推行訂立明確目標，加強業界及社區教育並持續檢討</w:t>
      </w:r>
    </w:p>
    <w:p w14:paraId="7D83935C" w14:textId="77777777" w:rsidR="00EB79C3" w:rsidRPr="00C01C50" w:rsidRDefault="00000000">
      <w:pPr>
        <w:widowControl/>
        <w:numPr>
          <w:ilvl w:val="0"/>
          <w:numId w:val="25"/>
        </w:numPr>
        <w:rPr>
          <w:rFonts w:ascii="標楷體" w:eastAsia="標楷體" w:hAnsi="標楷體" w:cs="標楷體"/>
          <w:color w:val="000000" w:themeColor="text1"/>
        </w:rPr>
      </w:pPr>
      <w:r w:rsidRPr="00C01C50">
        <w:rPr>
          <w:rFonts w:ascii="標楷體" w:eastAsia="標楷體" w:hAnsi="標楷體" w:cs="標楷體"/>
          <w:color w:val="000000" w:themeColor="text1"/>
        </w:rPr>
        <w:t>醫務衞生局應</w:t>
      </w:r>
      <w:r w:rsidRPr="00C01C50">
        <w:rPr>
          <w:rFonts w:ascii="標楷體" w:eastAsia="標楷體" w:hAnsi="標楷體" w:cs="標楷體"/>
          <w:b/>
          <w:bCs/>
          <w:color w:val="000000" w:themeColor="text1"/>
        </w:rPr>
        <w:t>就「預設醫療指示」的簽署率訂立兩年及五年的階段性指標</w:t>
      </w:r>
      <w:r w:rsidRPr="00C01C50">
        <w:rPr>
          <w:rFonts w:ascii="標楷體" w:eastAsia="標楷體" w:hAnsi="標楷體" w:cs="標楷體"/>
          <w:color w:val="000000" w:themeColor="text1"/>
        </w:rPr>
        <w:t>，並推行以下措施︰與醫院管理局及香港醫學專科學院合作，定期為公營醫療系統前線醫護人員及私家執業醫生提供有關「預設醫療指示」實踐的培訓及專業研討會；</w:t>
      </w:r>
    </w:p>
    <w:p w14:paraId="3BB93831" w14:textId="77777777" w:rsidR="00EB79C3" w:rsidRPr="00C01C50" w:rsidRDefault="00000000">
      <w:pPr>
        <w:widowControl/>
        <w:numPr>
          <w:ilvl w:val="0"/>
          <w:numId w:val="9"/>
        </w:numPr>
        <w:rPr>
          <w:rFonts w:ascii="標楷體" w:eastAsia="標楷體" w:hAnsi="標楷體" w:cs="標楷體"/>
          <w:color w:val="000000" w:themeColor="text1"/>
        </w:rPr>
      </w:pPr>
      <w:r w:rsidRPr="00C01C50">
        <w:rPr>
          <w:rFonts w:ascii="標楷體" w:eastAsia="標楷體" w:hAnsi="標楷體" w:cs="標楷體"/>
          <w:color w:val="000000" w:themeColor="text1"/>
        </w:rPr>
        <w:t>在培訓中加強對「預設醫療指示」法定門檻的理解，</w:t>
      </w:r>
      <w:proofErr w:type="gramStart"/>
      <w:r w:rsidRPr="00C01C50">
        <w:rPr>
          <w:rFonts w:ascii="標楷體" w:eastAsia="標楷體" w:hAnsi="標楷體" w:cs="標楷體"/>
          <w:color w:val="000000" w:themeColor="text1"/>
        </w:rPr>
        <w:t>釐</w:t>
      </w:r>
      <w:proofErr w:type="gramEnd"/>
      <w:r w:rsidRPr="00C01C50">
        <w:rPr>
          <w:rFonts w:ascii="標楷體" w:eastAsia="標楷體" w:hAnsi="標楷體" w:cs="標楷體"/>
          <w:color w:val="000000" w:themeColor="text1"/>
        </w:rPr>
        <w:t>清前線人員對其僅適用於晚期病患者的常見誤解；</w:t>
      </w:r>
    </w:p>
    <w:p w14:paraId="4BAD8EBC" w14:textId="77777777" w:rsidR="00EB79C3" w:rsidRPr="00C01C50" w:rsidRDefault="00000000">
      <w:pPr>
        <w:widowControl/>
        <w:numPr>
          <w:ilvl w:val="0"/>
          <w:numId w:val="9"/>
        </w:numPr>
        <w:rPr>
          <w:rFonts w:ascii="標楷體" w:eastAsia="標楷體" w:hAnsi="標楷體" w:cs="標楷體"/>
          <w:color w:val="000000" w:themeColor="text1"/>
        </w:rPr>
      </w:pPr>
      <w:r w:rsidRPr="00C01C50">
        <w:rPr>
          <w:rFonts w:ascii="標楷體" w:eastAsia="標楷體" w:hAnsi="標楷體" w:cs="標楷體"/>
          <w:color w:val="000000" w:themeColor="text1"/>
        </w:rPr>
        <w:t>加強醫院管理局與提供「預設照顧計劃」的社福機構之協作，讓患者在健康狀況穩定時及早接觸並落實相關計劃，從而減輕家屬於危急情況下的決策壓力及心理負擔，並逐步建立恆常轉</w:t>
      </w:r>
      <w:proofErr w:type="gramStart"/>
      <w:r w:rsidRPr="00C01C50">
        <w:rPr>
          <w:rFonts w:ascii="標楷體" w:eastAsia="標楷體" w:hAnsi="標楷體" w:cs="標楷體"/>
          <w:color w:val="000000" w:themeColor="text1"/>
        </w:rPr>
        <w:t>介</w:t>
      </w:r>
      <w:proofErr w:type="gramEnd"/>
      <w:r w:rsidRPr="00C01C50">
        <w:rPr>
          <w:rFonts w:ascii="標楷體" w:eastAsia="標楷體" w:hAnsi="標楷體" w:cs="標楷體"/>
          <w:color w:val="000000" w:themeColor="text1"/>
        </w:rPr>
        <w:t>機制；</w:t>
      </w:r>
    </w:p>
    <w:p w14:paraId="5C49A174" w14:textId="77777777" w:rsidR="00EB79C3" w:rsidRPr="00C01C50" w:rsidRDefault="00000000">
      <w:pPr>
        <w:widowControl/>
        <w:numPr>
          <w:ilvl w:val="0"/>
          <w:numId w:val="9"/>
        </w:numPr>
        <w:spacing w:after="120"/>
        <w:rPr>
          <w:rFonts w:ascii="標楷體" w:eastAsia="標楷體" w:hAnsi="標楷體" w:cs="標楷體"/>
          <w:color w:val="000000" w:themeColor="text1"/>
        </w:rPr>
      </w:pPr>
      <w:r w:rsidRPr="00C01C50">
        <w:rPr>
          <w:rFonts w:ascii="標楷體" w:eastAsia="標楷體" w:hAnsi="標楷體" w:cs="標楷體"/>
          <w:color w:val="000000" w:themeColor="text1"/>
        </w:rPr>
        <w:t>定期檢視《條例》推行情況，並廣泛諮詢病人組織、殘疾人士團體、長者及復康服務機構，以及前線醫療人員意見，以持續優化相關政策及執行策略。</w:t>
      </w:r>
    </w:p>
    <w:p w14:paraId="0FC3D335" w14:textId="77777777" w:rsidR="00EB79C3" w:rsidRPr="00C01C50" w:rsidRDefault="00EB79C3">
      <w:pPr>
        <w:rPr>
          <w:color w:val="000000" w:themeColor="text1"/>
        </w:rPr>
      </w:pPr>
    </w:p>
    <w:p w14:paraId="668A5997" w14:textId="77777777" w:rsidR="00EB79C3" w:rsidRPr="00C01C50" w:rsidRDefault="00000000">
      <w:pPr>
        <w:rPr>
          <w:rFonts w:ascii="標楷體" w:eastAsia="標楷體" w:hAnsi="標楷體" w:cs="標楷體"/>
          <w:color w:val="000000" w:themeColor="text1"/>
          <w:u w:val="single"/>
        </w:rPr>
      </w:pPr>
      <w:r w:rsidRPr="00C01C50">
        <w:rPr>
          <w:rFonts w:ascii="標楷體" w:eastAsia="標楷體" w:hAnsi="標楷體" w:cs="標楷體"/>
          <w:color w:val="000000" w:themeColor="text1"/>
          <w:u w:val="single"/>
        </w:rPr>
        <w:t>發展社區嵌入式的長者安寧照顧服務</w:t>
      </w:r>
    </w:p>
    <w:p w14:paraId="649BDEAE" w14:textId="77777777" w:rsidR="00EB79C3" w:rsidRPr="00C01C50" w:rsidRDefault="00000000">
      <w:pPr>
        <w:widowControl/>
        <w:numPr>
          <w:ilvl w:val="0"/>
          <w:numId w:val="25"/>
        </w:numPr>
        <w:spacing w:after="120"/>
        <w:rPr>
          <w:rFonts w:ascii="標楷體" w:eastAsia="標楷體" w:hAnsi="標楷體" w:cs="標楷體"/>
          <w:color w:val="000000" w:themeColor="text1"/>
        </w:rPr>
      </w:pPr>
      <w:r w:rsidRPr="00C01C50">
        <w:rPr>
          <w:rFonts w:ascii="標楷體" w:eastAsia="標楷體" w:hAnsi="標楷體" w:cs="標楷體"/>
          <w:color w:val="000000" w:themeColor="text1"/>
        </w:rPr>
        <w:t>為長者社區照顧服務單位（例如「體弱長者家居照顧服務」及「長者日間護理中心」）提供系統性的安寧照顧培訓，提升跨專業團隊於晚期照顧、症狀管理及家屬支援方面的能力，</w:t>
      </w:r>
      <w:r w:rsidRPr="00C01C50">
        <w:rPr>
          <w:rFonts w:ascii="標楷體" w:eastAsia="標楷體" w:hAnsi="標楷體" w:cs="標楷體"/>
          <w:b/>
          <w:bCs/>
          <w:color w:val="000000" w:themeColor="text1"/>
        </w:rPr>
        <w:t>並於五年內將安寧照顧正式納入上述服務單位的恆常服務範圍及服務協議之中，使其成為社區及居家安老的重要組成部分。</w:t>
      </w:r>
    </w:p>
    <w:p w14:paraId="4ABA9778" w14:textId="77777777" w:rsidR="00EB79C3" w:rsidRPr="00C01C50" w:rsidRDefault="00EB79C3">
      <w:pPr>
        <w:widowControl/>
        <w:spacing w:after="120"/>
        <w:ind w:left="283"/>
        <w:rPr>
          <w:rFonts w:ascii="標楷體" w:eastAsia="標楷體" w:hAnsi="標楷體" w:cs="標楷體"/>
          <w:b/>
          <w:bCs/>
          <w:color w:val="000000" w:themeColor="text1"/>
        </w:rPr>
      </w:pPr>
    </w:p>
    <w:p w14:paraId="7351C3C3" w14:textId="77777777" w:rsidR="00EB79C3" w:rsidRPr="00C01C50" w:rsidRDefault="00000000">
      <w:pPr>
        <w:widowControl/>
        <w:numPr>
          <w:ilvl w:val="0"/>
          <w:numId w:val="25"/>
        </w:numPr>
        <w:spacing w:after="120"/>
        <w:rPr>
          <w:rFonts w:ascii="標楷體" w:eastAsia="標楷體" w:hAnsi="標楷體" w:cs="標楷體"/>
          <w:color w:val="000000" w:themeColor="text1"/>
        </w:rPr>
        <w:sectPr w:rsidR="00EB79C3" w:rsidRPr="00C01C50">
          <w:pgSz w:w="11906" w:h="16838"/>
          <w:pgMar w:top="1440" w:right="1440" w:bottom="1440" w:left="1440" w:header="851" w:footer="992" w:gutter="0"/>
          <w:cols w:space="720"/>
        </w:sectPr>
      </w:pPr>
      <w:r w:rsidRPr="00C01C50">
        <w:rPr>
          <w:rFonts w:ascii="標楷體" w:eastAsia="標楷體" w:hAnsi="標楷體" w:cs="標楷體"/>
          <w:b/>
          <w:bCs/>
          <w:color w:val="000000" w:themeColor="text1"/>
        </w:rPr>
        <w:t>開展研究及試點計劃，探討擴展「長者社區照顧服務</w:t>
      </w:r>
      <w:proofErr w:type="gramStart"/>
      <w:r w:rsidRPr="00C01C50">
        <w:rPr>
          <w:rFonts w:ascii="標楷體" w:eastAsia="標楷體" w:hAnsi="標楷體" w:cs="標楷體"/>
          <w:b/>
          <w:bCs/>
          <w:color w:val="000000" w:themeColor="text1"/>
        </w:rPr>
        <w:t>券</w:t>
      </w:r>
      <w:proofErr w:type="gramEnd"/>
      <w:r w:rsidRPr="00C01C50">
        <w:rPr>
          <w:rFonts w:ascii="標楷體" w:eastAsia="標楷體" w:hAnsi="標楷體" w:cs="標楷體"/>
          <w:b/>
          <w:bCs/>
          <w:color w:val="000000" w:themeColor="text1"/>
        </w:rPr>
        <w:t>計劃」，讓已確診晚期疾病、但尚未納入「資助長期護理服務中央</w:t>
      </w:r>
      <w:proofErr w:type="gramStart"/>
      <w:r w:rsidRPr="00C01C50">
        <w:rPr>
          <w:rFonts w:ascii="標楷體" w:eastAsia="標楷體" w:hAnsi="標楷體" w:cs="標楷體"/>
          <w:b/>
          <w:bCs/>
          <w:color w:val="000000" w:themeColor="text1"/>
        </w:rPr>
        <w:t>輪候冊</w:t>
      </w:r>
      <w:proofErr w:type="gramEnd"/>
      <w:r w:rsidRPr="00C01C50">
        <w:rPr>
          <w:rFonts w:ascii="標楷體" w:eastAsia="標楷體" w:hAnsi="標楷體" w:cs="標楷體"/>
          <w:b/>
          <w:bCs/>
          <w:color w:val="000000" w:themeColor="text1"/>
        </w:rPr>
        <w:t>」的長者</w:t>
      </w:r>
      <w:r w:rsidRPr="00C01C50">
        <w:rPr>
          <w:rFonts w:ascii="標楷體" w:eastAsia="標楷體" w:hAnsi="標楷體" w:cs="標楷體"/>
          <w:color w:val="000000" w:themeColor="text1"/>
        </w:rPr>
        <w:t>，經合適及標準化的評估後，可透過長者社區照顧服務</w:t>
      </w:r>
      <w:proofErr w:type="gramStart"/>
      <w:r w:rsidRPr="00C01C50">
        <w:rPr>
          <w:rFonts w:ascii="標楷體" w:eastAsia="標楷體" w:hAnsi="標楷體" w:cs="標楷體"/>
          <w:color w:val="000000" w:themeColor="text1"/>
        </w:rPr>
        <w:t>券</w:t>
      </w:r>
      <w:proofErr w:type="gramEnd"/>
      <w:r w:rsidRPr="00C01C50">
        <w:rPr>
          <w:rFonts w:ascii="標楷體" w:eastAsia="標楷體" w:hAnsi="標楷體" w:cs="標楷體"/>
          <w:color w:val="000000" w:themeColor="text1"/>
        </w:rPr>
        <w:t>，</w:t>
      </w:r>
      <w:r w:rsidRPr="00C01C50">
        <w:rPr>
          <w:rFonts w:ascii="標楷體" w:eastAsia="標楷體" w:hAnsi="標楷體" w:cs="標楷體"/>
          <w:b/>
          <w:bCs/>
          <w:color w:val="000000" w:themeColor="text1"/>
        </w:rPr>
        <w:t>優先及有時限地選用以社區安寧／</w:t>
      </w:r>
      <w:proofErr w:type="gramStart"/>
      <w:r w:rsidRPr="00C01C50">
        <w:rPr>
          <w:rFonts w:ascii="標楷體" w:eastAsia="標楷體" w:hAnsi="標楷體" w:cs="標楷體"/>
          <w:b/>
          <w:bCs/>
          <w:color w:val="000000" w:themeColor="text1"/>
        </w:rPr>
        <w:t>紓</w:t>
      </w:r>
      <w:proofErr w:type="gramEnd"/>
      <w:r w:rsidRPr="00C01C50">
        <w:rPr>
          <w:rFonts w:ascii="標楷體" w:eastAsia="標楷體" w:hAnsi="標楷體" w:cs="標楷體"/>
          <w:b/>
          <w:bCs/>
          <w:color w:val="000000" w:themeColor="text1"/>
        </w:rPr>
        <w:t>緩為重點的家居及／或中心為本服務</w:t>
      </w:r>
      <w:r w:rsidRPr="00C01C50">
        <w:rPr>
          <w:rFonts w:ascii="標楷體" w:eastAsia="標楷體" w:hAnsi="標楷體" w:cs="標楷體"/>
          <w:color w:val="000000" w:themeColor="text1"/>
        </w:rPr>
        <w:t>，以支援其在社區善終的需要。</w:t>
      </w:r>
    </w:p>
    <w:p w14:paraId="22D002A2" w14:textId="77777777" w:rsidR="00EB79C3" w:rsidRPr="00C01C50" w:rsidRDefault="00000000">
      <w:pPr>
        <w:spacing w:line="360" w:lineRule="auto"/>
        <w:jc w:val="center"/>
        <w:rPr>
          <w:rFonts w:ascii="標楷體" w:eastAsia="標楷體" w:hAnsi="標楷體" w:cs="標楷體"/>
          <w:color w:val="000000" w:themeColor="text1"/>
          <w:highlight w:val="yellow"/>
        </w:rPr>
      </w:pPr>
      <w:r w:rsidRPr="00C01C50">
        <w:rPr>
          <w:rFonts w:ascii="標楷體" w:eastAsia="標楷體" w:hAnsi="標楷體" w:cs="標楷體"/>
          <w:b/>
          <w:bCs/>
          <w:color w:val="000000" w:themeColor="text1"/>
        </w:rPr>
        <w:lastRenderedPageBreak/>
        <w:t>（9）照顧者支援</w:t>
      </w:r>
    </w:p>
    <w:p w14:paraId="2101BED2" w14:textId="77777777" w:rsidR="00EB79C3" w:rsidRPr="00C01C50" w:rsidRDefault="00000000">
      <w:pPr>
        <w:ind w:firstLine="496"/>
        <w:rPr>
          <w:rFonts w:ascii="標楷體" w:eastAsia="標楷體" w:hAnsi="標楷體" w:cs="標楷體"/>
          <w:color w:val="000000" w:themeColor="text1"/>
        </w:rPr>
      </w:pPr>
      <w:r w:rsidRPr="00C01C50">
        <w:rPr>
          <w:rFonts w:ascii="標楷體" w:eastAsia="標楷體" w:hAnsi="標楷體" w:cs="標楷體"/>
          <w:color w:val="000000" w:themeColor="text1"/>
        </w:rPr>
        <w:t>特區政府自2023年起積極推出多項措施以回應照顧者的殷切需求，不僅設立「照顧者資料庫」以主動識別高風險住戶，持續發展照顧者資訊網及暫</w:t>
      </w:r>
      <w:proofErr w:type="gramStart"/>
      <w:r w:rsidRPr="00C01C50">
        <w:rPr>
          <w:rFonts w:ascii="標楷體" w:eastAsia="標楷體" w:hAnsi="標楷體" w:cs="標楷體"/>
          <w:color w:val="000000" w:themeColor="text1"/>
        </w:rPr>
        <w:t>託</w:t>
      </w:r>
      <w:proofErr w:type="gramEnd"/>
      <w:r w:rsidRPr="00C01C50">
        <w:rPr>
          <w:rFonts w:ascii="標楷體" w:eastAsia="標楷體" w:hAnsi="標楷體" w:cs="標楷體"/>
          <w:color w:val="000000" w:themeColor="text1"/>
        </w:rPr>
        <w:t>服務／緊急住宿空置名額查詢系統等網上平台，亦推動「照顧者關懷計劃」，透過跨界別協作，全方位支援照顧者在就業、精神健康與日常照顧等層面的需要。然而，現時照顧者仍面臨多重挑戰，包括：「照顧者津貼」申請門檻較高且受惠範圍受限；前線經驗反映暫</w:t>
      </w:r>
      <w:proofErr w:type="gramStart"/>
      <w:r w:rsidRPr="00C01C50">
        <w:rPr>
          <w:rFonts w:ascii="標楷體" w:eastAsia="標楷體" w:hAnsi="標楷體" w:cs="標楷體"/>
          <w:color w:val="000000" w:themeColor="text1"/>
        </w:rPr>
        <w:t>託</w:t>
      </w:r>
      <w:proofErr w:type="gramEnd"/>
      <w:r w:rsidRPr="00C01C50">
        <w:rPr>
          <w:rFonts w:ascii="標楷體" w:eastAsia="標楷體" w:hAnsi="標楷體" w:cs="標楷體"/>
          <w:color w:val="000000" w:themeColor="text1"/>
        </w:rPr>
        <w:t>服務名額於部分區域仍供不應求，網上資源平台的資訊與實際資源名額存在落差，社會服務資源與資訊亦趨於「碎片化」。同時，部分較年輕的長期病患者因年齡門檻而未能受惠於社區安老照顧服務（如家居支援、「關愛隊」探訪、長者地區中心等），其照顧者的迫切服務需求亦因而容易被忽視。</w:t>
      </w:r>
    </w:p>
    <w:p w14:paraId="5B023A15" w14:textId="77777777" w:rsidR="00EB79C3" w:rsidRPr="00C01C50" w:rsidRDefault="00EB79C3">
      <w:pPr>
        <w:ind w:firstLine="496"/>
        <w:rPr>
          <w:rFonts w:ascii="標楷體" w:eastAsia="標楷體" w:hAnsi="標楷體" w:cs="標楷體"/>
          <w:color w:val="000000" w:themeColor="text1"/>
        </w:rPr>
      </w:pPr>
    </w:p>
    <w:p w14:paraId="7F7B0F84" w14:textId="77777777" w:rsidR="00EB79C3" w:rsidRPr="00C01C50" w:rsidRDefault="00000000">
      <w:pPr>
        <w:ind w:firstLine="496"/>
        <w:rPr>
          <w:rFonts w:ascii="標楷體" w:eastAsia="標楷體" w:hAnsi="標楷體" w:cs="標楷體"/>
          <w:color w:val="000000" w:themeColor="text1"/>
        </w:rPr>
      </w:pPr>
      <w:r w:rsidRPr="00C01C50">
        <w:rPr>
          <w:rFonts w:ascii="標楷體" w:eastAsia="標楷體" w:hAnsi="標楷體" w:cs="標楷體"/>
          <w:color w:val="000000" w:themeColor="text1"/>
        </w:rPr>
        <w:t>國務院殘疾人工作委員會於《殘疾人保障和發展“十五五”規劃》中，已將「完善以居家照護為基礎、日間照料為依托、集中</w:t>
      </w:r>
      <w:proofErr w:type="gramStart"/>
      <w:r w:rsidRPr="00C01C50">
        <w:rPr>
          <w:rFonts w:ascii="標楷體" w:eastAsia="標楷體" w:hAnsi="標楷體" w:cs="標楷體"/>
          <w:color w:val="000000" w:themeColor="text1"/>
        </w:rPr>
        <w:t>托養照</w:t>
      </w:r>
      <w:proofErr w:type="gramEnd"/>
      <w:r w:rsidRPr="00C01C50">
        <w:rPr>
          <w:rFonts w:ascii="標楷體" w:eastAsia="標楷體" w:hAnsi="標楷體" w:cs="標楷體"/>
          <w:color w:val="000000" w:themeColor="text1"/>
        </w:rPr>
        <w:t>護為專業支撐的照護服務體系」列為重點方向之一，強調需強化照護系統、拓展暫</w:t>
      </w:r>
      <w:proofErr w:type="gramStart"/>
      <w:r w:rsidRPr="00C01C50">
        <w:rPr>
          <w:rFonts w:ascii="標楷體" w:eastAsia="標楷體" w:hAnsi="標楷體" w:cs="標楷體"/>
          <w:color w:val="000000" w:themeColor="text1"/>
        </w:rPr>
        <w:t>託</w:t>
      </w:r>
      <w:proofErr w:type="gramEnd"/>
      <w:r w:rsidRPr="00C01C50">
        <w:rPr>
          <w:rFonts w:ascii="標楷體" w:eastAsia="標楷體" w:hAnsi="標楷體" w:cs="標楷體"/>
          <w:color w:val="000000" w:themeColor="text1"/>
        </w:rPr>
        <w:t>服務，以及加強對家庭的心理疏導等支援。本港照顧者支援措施應與國家「十五五」規劃精神相互呼應，在強化社區照顧及家居支援的同時，更系統地把照顧者的福祉納入長遠規劃。具體建議包括</w:t>
      </w:r>
      <w:proofErr w:type="gramStart"/>
      <w:r w:rsidRPr="00C01C50">
        <w:rPr>
          <w:rFonts w:ascii="標楷體" w:eastAsia="標楷體" w:hAnsi="標楷體" w:cs="標楷體"/>
          <w:color w:val="000000" w:themeColor="text1"/>
        </w:rPr>
        <w:t>︰</w:t>
      </w:r>
      <w:proofErr w:type="gramEnd"/>
    </w:p>
    <w:p w14:paraId="2F0F3DA1" w14:textId="77777777" w:rsidR="00EB79C3" w:rsidRPr="00C01C50" w:rsidRDefault="00EB79C3">
      <w:pPr>
        <w:ind w:firstLine="496"/>
        <w:rPr>
          <w:rFonts w:ascii="標楷體" w:eastAsia="標楷體" w:hAnsi="標楷體" w:cs="標楷體"/>
          <w:color w:val="000000" w:themeColor="text1"/>
        </w:rPr>
      </w:pPr>
    </w:p>
    <w:p w14:paraId="76BC1AEF" w14:textId="77777777" w:rsidR="00EB79C3" w:rsidRPr="00C01C50" w:rsidRDefault="00000000">
      <w:pPr>
        <w:rPr>
          <w:rFonts w:ascii="標楷體" w:eastAsia="標楷體" w:hAnsi="標楷體" w:cs="標楷體"/>
          <w:b/>
          <w:bCs/>
          <w:color w:val="000000" w:themeColor="text1"/>
        </w:rPr>
      </w:pPr>
      <w:r w:rsidRPr="00C01C50">
        <w:rPr>
          <w:rFonts w:ascii="標楷體" w:eastAsia="標楷體" w:hAnsi="標楷體" w:cs="標楷體"/>
          <w:color w:val="000000" w:themeColor="text1"/>
          <w:u w:val="single"/>
        </w:rPr>
        <w:t>推動社區為本的系統性分層介入及一站式支援</w:t>
      </w:r>
    </w:p>
    <w:p w14:paraId="29622DAC" w14:textId="77777777" w:rsidR="00EB79C3" w:rsidRPr="00C01C50" w:rsidRDefault="00000000">
      <w:pPr>
        <w:numPr>
          <w:ilvl w:val="0"/>
          <w:numId w:val="12"/>
        </w:numPr>
        <w:rPr>
          <w:rFonts w:ascii="標楷體" w:eastAsia="標楷體" w:hAnsi="標楷體" w:cs="標楷體"/>
          <w:color w:val="000000" w:themeColor="text1"/>
        </w:rPr>
      </w:pPr>
      <w:r w:rsidRPr="00C01C50">
        <w:rPr>
          <w:rFonts w:ascii="標楷體" w:eastAsia="標楷體" w:hAnsi="標楷體" w:cs="標楷體"/>
          <w:b/>
          <w:bCs/>
          <w:color w:val="000000" w:themeColor="text1"/>
        </w:rPr>
        <w:t>深化關愛隊與地區社福機構及自助組織等地區網絡的跨界別協作，共同識別社區內的照顧者，並進行初步風險評估與分流。</w:t>
      </w:r>
      <w:r w:rsidRPr="00C01C50">
        <w:rPr>
          <w:rFonts w:ascii="標楷體" w:eastAsia="標楷體" w:hAnsi="標楷體" w:cs="標楷體"/>
          <w:color w:val="000000" w:themeColor="text1"/>
        </w:rPr>
        <w:t>針對低風險個案，可由關愛隊及地區網絡為照顧者派發「社區資源指南」並提供基本資訊；針對中高風險個案，則應轉</w:t>
      </w:r>
      <w:proofErr w:type="gramStart"/>
      <w:r w:rsidRPr="00C01C50">
        <w:rPr>
          <w:rFonts w:ascii="標楷體" w:eastAsia="標楷體" w:hAnsi="標楷體" w:cs="標楷體"/>
          <w:color w:val="000000" w:themeColor="text1"/>
        </w:rPr>
        <w:t>介</w:t>
      </w:r>
      <w:proofErr w:type="gramEnd"/>
      <w:r w:rsidRPr="00C01C50">
        <w:rPr>
          <w:rFonts w:ascii="標楷體" w:eastAsia="標楷體" w:hAnsi="標楷體" w:cs="標楷體"/>
          <w:color w:val="000000" w:themeColor="text1"/>
        </w:rPr>
        <w:t>至「照顧者專線」、綜合家庭服務中心、長者地區中心或殘疾人士地區支援中心等專業單位，由專責「個案經理」接手跟進及作一站式統籌。此舉不僅有助強化一站式服務及社區支援照顧者的效能，亦可減輕關愛隊的工作負擔。</w:t>
      </w:r>
    </w:p>
    <w:p w14:paraId="367EFA39" w14:textId="77777777" w:rsidR="00EB79C3" w:rsidRPr="00C01C50" w:rsidRDefault="00EB79C3">
      <w:pPr>
        <w:ind w:left="1133"/>
        <w:rPr>
          <w:rFonts w:ascii="標楷體" w:eastAsia="標楷體" w:hAnsi="標楷體" w:cs="標楷體"/>
          <w:color w:val="000000" w:themeColor="text1"/>
        </w:rPr>
      </w:pPr>
    </w:p>
    <w:p w14:paraId="40523546" w14:textId="77777777" w:rsidR="00EB79C3" w:rsidRPr="00C01C50" w:rsidRDefault="00000000">
      <w:pPr>
        <w:numPr>
          <w:ilvl w:val="0"/>
          <w:numId w:val="12"/>
        </w:numPr>
        <w:rPr>
          <w:rFonts w:ascii="標楷體" w:eastAsia="標楷體" w:hAnsi="標楷體" w:cs="標楷體"/>
          <w:color w:val="000000" w:themeColor="text1"/>
        </w:rPr>
      </w:pPr>
      <w:r w:rsidRPr="00C01C50">
        <w:rPr>
          <w:rFonts w:ascii="標楷體" w:eastAsia="標楷體" w:hAnsi="標楷體" w:cs="標楷體"/>
          <w:color w:val="000000" w:themeColor="text1"/>
        </w:rPr>
        <w:t>透過家訪及電話關懷</w:t>
      </w:r>
      <w:r w:rsidRPr="00C01C50">
        <w:rPr>
          <w:rFonts w:ascii="標楷體" w:eastAsia="標楷體" w:hAnsi="標楷體" w:cs="標楷體"/>
          <w:b/>
          <w:bCs/>
          <w:color w:val="000000" w:themeColor="text1"/>
        </w:rPr>
        <w:t>主動接觸及了解隱蔽照顧者對現有服務的疑慮與障礙，據此設計更具彈性及針對性的支援方案</w:t>
      </w:r>
      <w:r w:rsidRPr="00C01C50">
        <w:rPr>
          <w:rFonts w:ascii="標楷體" w:eastAsia="標楷體" w:hAnsi="標楷體" w:cs="標楷體"/>
          <w:color w:val="000000" w:themeColor="text1"/>
        </w:rPr>
        <w:t>，以提升其求助動機與使用意願。</w:t>
      </w:r>
    </w:p>
    <w:p w14:paraId="2CD28CBB" w14:textId="77777777" w:rsidR="00EB79C3" w:rsidRPr="00C01C50" w:rsidRDefault="00EB79C3">
      <w:pPr>
        <w:rPr>
          <w:rFonts w:ascii="標楷體" w:eastAsia="標楷體" w:hAnsi="標楷體" w:cs="標楷體"/>
          <w:color w:val="000000" w:themeColor="text1"/>
        </w:rPr>
      </w:pPr>
    </w:p>
    <w:p w14:paraId="246DB4A8" w14:textId="77777777" w:rsidR="00EB79C3" w:rsidRPr="00C01C50" w:rsidRDefault="00000000">
      <w:pPr>
        <w:rPr>
          <w:rFonts w:ascii="標楷體" w:eastAsia="標楷體" w:hAnsi="標楷體" w:cs="標楷體"/>
          <w:color w:val="000000" w:themeColor="text1"/>
          <w:u w:val="single"/>
        </w:rPr>
      </w:pPr>
      <w:r w:rsidRPr="00C01C50">
        <w:rPr>
          <w:rFonts w:ascii="標楷體" w:eastAsia="標楷體" w:hAnsi="標楷體" w:cs="標楷體"/>
          <w:color w:val="000000" w:themeColor="text1"/>
          <w:u w:val="single"/>
        </w:rPr>
        <w:t>調整社區照顧服務和暫</w:t>
      </w:r>
      <w:proofErr w:type="gramStart"/>
      <w:r w:rsidRPr="00C01C50">
        <w:rPr>
          <w:rFonts w:ascii="標楷體" w:eastAsia="標楷體" w:hAnsi="標楷體" w:cs="標楷體"/>
          <w:color w:val="000000" w:themeColor="text1"/>
          <w:u w:val="single"/>
        </w:rPr>
        <w:t>託</w:t>
      </w:r>
      <w:proofErr w:type="gramEnd"/>
      <w:r w:rsidRPr="00C01C50">
        <w:rPr>
          <w:rFonts w:ascii="標楷體" w:eastAsia="標楷體" w:hAnsi="標楷體" w:cs="標楷體"/>
          <w:color w:val="000000" w:themeColor="text1"/>
          <w:u w:val="single"/>
        </w:rPr>
        <w:t>服務以彌補地區服務缺口</w:t>
      </w:r>
    </w:p>
    <w:p w14:paraId="1FB858E4" w14:textId="77777777" w:rsidR="00EB79C3" w:rsidRPr="00C01C50" w:rsidRDefault="00000000">
      <w:pPr>
        <w:numPr>
          <w:ilvl w:val="0"/>
          <w:numId w:val="12"/>
        </w:numPr>
        <w:rPr>
          <w:rFonts w:ascii="標楷體" w:eastAsia="標楷體" w:hAnsi="標楷體" w:cs="標楷體"/>
          <w:color w:val="000000" w:themeColor="text1"/>
        </w:rPr>
      </w:pPr>
      <w:r w:rsidRPr="00C01C50">
        <w:rPr>
          <w:rFonts w:ascii="標楷體" w:eastAsia="標楷體" w:hAnsi="標楷體" w:cs="標楷體"/>
          <w:color w:val="000000" w:themeColor="text1"/>
        </w:rPr>
        <w:t>以「照顧者資料庫」各區的照顧者數據及被照顧者需求特性為基礎</w:t>
      </w:r>
      <w:proofErr w:type="gramStart"/>
      <w:r w:rsidRPr="00C01C50">
        <w:rPr>
          <w:rFonts w:ascii="標楷體" w:eastAsia="標楷體" w:hAnsi="標楷體" w:cs="標楷體"/>
          <w:color w:val="000000" w:themeColor="text1"/>
        </w:rPr>
        <w:t>︰</w:t>
      </w:r>
      <w:proofErr w:type="gramEnd"/>
    </w:p>
    <w:p w14:paraId="7E36DDB8" w14:textId="77777777" w:rsidR="00EB79C3" w:rsidRPr="00C01C50" w:rsidRDefault="00000000">
      <w:pPr>
        <w:numPr>
          <w:ilvl w:val="0"/>
          <w:numId w:val="3"/>
        </w:numPr>
        <w:ind w:left="850" w:hanging="359"/>
        <w:rPr>
          <w:rFonts w:ascii="Times New Roman" w:eastAsia="Times New Roman" w:hAnsi="Times New Roman" w:cs="Times New Roman"/>
          <w:color w:val="000000" w:themeColor="text1"/>
        </w:rPr>
      </w:pPr>
      <w:r w:rsidRPr="00C01C50">
        <w:rPr>
          <w:rFonts w:ascii="標楷體" w:eastAsia="標楷體" w:hAnsi="標楷體" w:cs="標楷體"/>
          <w:color w:val="000000" w:themeColor="text1"/>
        </w:rPr>
        <w:t>按各區實際需要，</w:t>
      </w:r>
      <w:r w:rsidRPr="00C01C50">
        <w:rPr>
          <w:rFonts w:ascii="標楷體" w:eastAsia="標楷體" w:hAnsi="標楷體" w:cs="標楷體"/>
          <w:b/>
          <w:bCs/>
          <w:color w:val="000000" w:themeColor="text1"/>
        </w:rPr>
        <w:t>增加並更平均地分配暫</w:t>
      </w:r>
      <w:proofErr w:type="gramStart"/>
      <w:r w:rsidRPr="00C01C50">
        <w:rPr>
          <w:rFonts w:ascii="標楷體" w:eastAsia="標楷體" w:hAnsi="標楷體" w:cs="標楷體"/>
          <w:b/>
          <w:bCs/>
          <w:color w:val="000000" w:themeColor="text1"/>
        </w:rPr>
        <w:t>託</w:t>
      </w:r>
      <w:proofErr w:type="gramEnd"/>
      <w:r w:rsidRPr="00C01C50">
        <w:rPr>
          <w:rFonts w:ascii="標楷體" w:eastAsia="標楷體" w:hAnsi="標楷體" w:cs="標楷體"/>
          <w:b/>
          <w:bCs/>
          <w:color w:val="000000" w:themeColor="text1"/>
        </w:rPr>
        <w:t>服務資源，並增設支援住宿暫</w:t>
      </w:r>
      <w:proofErr w:type="gramStart"/>
      <w:r w:rsidRPr="00C01C50">
        <w:rPr>
          <w:rFonts w:ascii="標楷體" w:eastAsia="標楷體" w:hAnsi="標楷體" w:cs="標楷體"/>
          <w:b/>
          <w:bCs/>
          <w:color w:val="000000" w:themeColor="text1"/>
        </w:rPr>
        <w:t>託或暫顧服務</w:t>
      </w:r>
      <w:proofErr w:type="gramEnd"/>
      <w:r w:rsidRPr="00C01C50">
        <w:rPr>
          <w:rFonts w:ascii="標楷體" w:eastAsia="標楷體" w:hAnsi="標楷體" w:cs="標楷體"/>
          <w:b/>
          <w:bCs/>
          <w:color w:val="000000" w:themeColor="text1"/>
        </w:rPr>
        <w:t>的交通配套；</w:t>
      </w:r>
      <w:r w:rsidRPr="00C01C50">
        <w:rPr>
          <w:rFonts w:ascii="標楷體" w:eastAsia="標楷體" w:hAnsi="標楷體" w:cs="標楷體"/>
          <w:color w:val="000000" w:themeColor="text1"/>
        </w:rPr>
        <w:t>同時，</w:t>
      </w:r>
      <w:r w:rsidRPr="00C01C50">
        <w:rPr>
          <w:rFonts w:ascii="標楷體" w:eastAsia="標楷體" w:hAnsi="標楷體" w:cs="標楷體"/>
          <w:b/>
          <w:bCs/>
          <w:color w:val="000000" w:themeColor="text1"/>
        </w:rPr>
        <w:t>為暫時</w:t>
      </w:r>
      <w:proofErr w:type="gramStart"/>
      <w:r w:rsidRPr="00C01C50">
        <w:rPr>
          <w:rFonts w:ascii="標楷體" w:eastAsia="標楷體" w:hAnsi="標楷體" w:cs="標楷體"/>
          <w:b/>
          <w:bCs/>
          <w:color w:val="000000" w:themeColor="text1"/>
        </w:rPr>
        <w:t>未能獲編配合</w:t>
      </w:r>
      <w:proofErr w:type="gramEnd"/>
      <w:r w:rsidRPr="00C01C50">
        <w:rPr>
          <w:rFonts w:ascii="標楷體" w:eastAsia="標楷體" w:hAnsi="標楷體" w:cs="標楷體"/>
          <w:b/>
          <w:bCs/>
          <w:color w:val="000000" w:themeColor="text1"/>
        </w:rPr>
        <w:t>適暫</w:t>
      </w:r>
      <w:proofErr w:type="gramStart"/>
      <w:r w:rsidRPr="00C01C50">
        <w:rPr>
          <w:rFonts w:ascii="標楷體" w:eastAsia="標楷體" w:hAnsi="標楷體" w:cs="標楷體"/>
          <w:b/>
          <w:bCs/>
          <w:color w:val="000000" w:themeColor="text1"/>
        </w:rPr>
        <w:t>託</w:t>
      </w:r>
      <w:proofErr w:type="gramEnd"/>
      <w:r w:rsidRPr="00C01C50">
        <w:rPr>
          <w:rFonts w:ascii="標楷體" w:eastAsia="標楷體" w:hAnsi="標楷體" w:cs="標楷體"/>
          <w:b/>
          <w:bCs/>
          <w:color w:val="000000" w:themeColor="text1"/>
        </w:rPr>
        <w:t>服務的照顧者提供即時的到戶支援作為過渡方案</w:t>
      </w:r>
      <w:r w:rsidRPr="00C01C50">
        <w:rPr>
          <w:rFonts w:ascii="標楷體" w:eastAsia="標楷體" w:hAnsi="標楷體" w:cs="標楷體"/>
          <w:color w:val="000000" w:themeColor="text1"/>
        </w:rPr>
        <w:t>，以確保能及時</w:t>
      </w:r>
      <w:proofErr w:type="gramStart"/>
      <w:r w:rsidRPr="00C01C50">
        <w:rPr>
          <w:rFonts w:ascii="標楷體" w:eastAsia="標楷體" w:hAnsi="標楷體" w:cs="標楷體"/>
          <w:color w:val="000000" w:themeColor="text1"/>
        </w:rPr>
        <w:t>紓</w:t>
      </w:r>
      <w:proofErr w:type="gramEnd"/>
      <w:r w:rsidRPr="00C01C50">
        <w:rPr>
          <w:rFonts w:ascii="標楷體" w:eastAsia="標楷體" w:hAnsi="標楷體" w:cs="標楷體"/>
          <w:color w:val="000000" w:themeColor="text1"/>
        </w:rPr>
        <w:t>緩其照顧壓力；</w:t>
      </w:r>
    </w:p>
    <w:p w14:paraId="19E4D335" w14:textId="77777777" w:rsidR="00EB79C3" w:rsidRPr="00C01C50" w:rsidRDefault="00000000">
      <w:pPr>
        <w:numPr>
          <w:ilvl w:val="0"/>
          <w:numId w:val="3"/>
        </w:numPr>
        <w:ind w:left="850" w:hanging="359"/>
        <w:rPr>
          <w:rFonts w:ascii="標楷體" w:eastAsia="標楷體" w:hAnsi="標楷體" w:cs="標楷體"/>
          <w:color w:val="000000" w:themeColor="text1"/>
        </w:rPr>
      </w:pPr>
      <w:r w:rsidRPr="00C01C50">
        <w:rPr>
          <w:rFonts w:ascii="標楷體" w:eastAsia="標楷體" w:hAnsi="標楷體" w:cs="標楷體"/>
          <w:b/>
          <w:bCs/>
          <w:color w:val="000000" w:themeColor="text1"/>
        </w:rPr>
        <w:t>持續檢討及加強暫</w:t>
      </w:r>
      <w:proofErr w:type="gramStart"/>
      <w:r w:rsidRPr="00C01C50">
        <w:rPr>
          <w:rFonts w:ascii="標楷體" w:eastAsia="標楷體" w:hAnsi="標楷體" w:cs="標楷體"/>
          <w:b/>
          <w:bCs/>
          <w:color w:val="000000" w:themeColor="text1"/>
        </w:rPr>
        <w:t>託</w:t>
      </w:r>
      <w:proofErr w:type="gramEnd"/>
      <w:r w:rsidRPr="00C01C50">
        <w:rPr>
          <w:rFonts w:ascii="標楷體" w:eastAsia="標楷體" w:hAnsi="標楷體" w:cs="標楷體"/>
          <w:b/>
          <w:bCs/>
          <w:color w:val="000000" w:themeColor="text1"/>
        </w:rPr>
        <w:t>服務／緊急住宿空置名額查詢系統資訊更新的及時性。</w:t>
      </w:r>
    </w:p>
    <w:p w14:paraId="7A87595D" w14:textId="77777777" w:rsidR="00EB79C3" w:rsidRPr="00C01C50" w:rsidRDefault="00EB79C3">
      <w:pPr>
        <w:rPr>
          <w:rFonts w:ascii="標楷體" w:eastAsia="標楷體" w:hAnsi="標楷體" w:cs="標楷體"/>
          <w:b/>
          <w:bCs/>
          <w:color w:val="000000" w:themeColor="text1"/>
        </w:rPr>
      </w:pPr>
    </w:p>
    <w:p w14:paraId="357C3F12" w14:textId="77777777" w:rsidR="00EB79C3" w:rsidRPr="00C01C50" w:rsidRDefault="00000000">
      <w:pPr>
        <w:numPr>
          <w:ilvl w:val="0"/>
          <w:numId w:val="12"/>
        </w:numPr>
        <w:rPr>
          <w:rFonts w:ascii="標楷體" w:eastAsia="標楷體" w:hAnsi="標楷體" w:cs="標楷體"/>
          <w:color w:val="000000" w:themeColor="text1"/>
        </w:rPr>
      </w:pPr>
      <w:r w:rsidRPr="00C01C50">
        <w:rPr>
          <w:rFonts w:ascii="標楷體" w:eastAsia="標楷體" w:hAnsi="標楷體" w:cs="標楷體"/>
          <w:b/>
          <w:bCs/>
          <w:color w:val="000000" w:themeColor="text1"/>
        </w:rPr>
        <w:t>研究為未達安老服務年齡門檻，因而未能受惠於資助社區照顧服務的長期病患者設立更具彈性的機制或其他支援方案</w:t>
      </w:r>
      <w:r w:rsidRPr="00C01C50">
        <w:rPr>
          <w:rFonts w:ascii="標楷體" w:eastAsia="標楷體" w:hAnsi="標楷體" w:cs="標楷體"/>
          <w:color w:val="000000" w:themeColor="text1"/>
        </w:rPr>
        <w:t>，確保</w:t>
      </w:r>
      <w:proofErr w:type="gramStart"/>
      <w:r w:rsidRPr="00C01C50">
        <w:rPr>
          <w:rFonts w:ascii="標楷體" w:eastAsia="標楷體" w:hAnsi="標楷體" w:cs="標楷體"/>
          <w:color w:val="000000" w:themeColor="text1"/>
        </w:rPr>
        <w:t>他們均能獲得</w:t>
      </w:r>
      <w:proofErr w:type="gramEnd"/>
      <w:r w:rsidRPr="00C01C50">
        <w:rPr>
          <w:rFonts w:ascii="標楷體" w:eastAsia="標楷體" w:hAnsi="標楷體" w:cs="標楷體"/>
          <w:color w:val="000000" w:themeColor="text1"/>
        </w:rPr>
        <w:t>適切的資助社區支援，減輕其照顧者的壓力。</w:t>
      </w:r>
    </w:p>
    <w:p w14:paraId="7A8C59CC" w14:textId="77777777" w:rsidR="00EB79C3" w:rsidRPr="00C01C50" w:rsidRDefault="00EB79C3">
      <w:pPr>
        <w:ind w:left="720"/>
        <w:rPr>
          <w:rFonts w:ascii="標楷體" w:eastAsia="標楷體" w:hAnsi="標楷體" w:cs="標楷體"/>
          <w:b/>
          <w:bCs/>
          <w:color w:val="000000" w:themeColor="text1"/>
        </w:rPr>
      </w:pPr>
    </w:p>
    <w:p w14:paraId="755DD327" w14:textId="77777777" w:rsidR="00EB79C3" w:rsidRPr="00C01C50" w:rsidRDefault="00000000">
      <w:pPr>
        <w:rPr>
          <w:rFonts w:ascii="標楷體" w:eastAsia="標楷體" w:hAnsi="標楷體" w:cs="標楷體"/>
          <w:color w:val="000000" w:themeColor="text1"/>
          <w:u w:val="single"/>
        </w:rPr>
      </w:pPr>
      <w:r w:rsidRPr="00C01C50">
        <w:rPr>
          <w:rFonts w:ascii="標楷體" w:eastAsia="標楷體" w:hAnsi="標楷體" w:cs="標楷體"/>
          <w:color w:val="000000" w:themeColor="text1"/>
          <w:u w:val="single"/>
        </w:rPr>
        <w:t>降低照顧者津貼合資格門檻以支援未被公營服務接觸的個案</w:t>
      </w:r>
    </w:p>
    <w:p w14:paraId="2B7A7CAD" w14:textId="77777777" w:rsidR="00EB79C3" w:rsidRPr="00C01C50" w:rsidRDefault="00000000">
      <w:pPr>
        <w:numPr>
          <w:ilvl w:val="0"/>
          <w:numId w:val="12"/>
        </w:numPr>
        <w:rPr>
          <w:rFonts w:ascii="標楷體" w:eastAsia="標楷體" w:hAnsi="標楷體" w:cs="標楷體"/>
          <w:color w:val="000000" w:themeColor="text1"/>
        </w:rPr>
        <w:sectPr w:rsidR="00EB79C3" w:rsidRPr="00C01C50">
          <w:pgSz w:w="11906" w:h="16838"/>
          <w:pgMar w:top="1440" w:right="1440" w:bottom="1440" w:left="1440" w:header="851" w:footer="992" w:gutter="0"/>
          <w:cols w:space="720"/>
        </w:sectPr>
      </w:pPr>
      <w:r w:rsidRPr="00C01C50">
        <w:rPr>
          <w:rFonts w:ascii="標楷體" w:eastAsia="標楷體" w:hAnsi="標楷體" w:cs="標楷體"/>
          <w:color w:val="000000" w:themeColor="text1"/>
        </w:rPr>
        <w:t>放寬「照顧者津貼」申請資格，包括</w:t>
      </w:r>
      <w:r w:rsidRPr="00C01C50">
        <w:rPr>
          <w:rFonts w:ascii="標楷體" w:eastAsia="標楷體" w:hAnsi="標楷體" w:cs="標楷體"/>
          <w:b/>
          <w:bCs/>
          <w:color w:val="000000" w:themeColor="text1"/>
        </w:rPr>
        <w:t>涵蓋正照顧尚未進入中央</w:t>
      </w:r>
      <w:proofErr w:type="gramStart"/>
      <w:r w:rsidRPr="00C01C50">
        <w:rPr>
          <w:rFonts w:ascii="標楷體" w:eastAsia="標楷體" w:hAnsi="標楷體" w:cs="標楷體"/>
          <w:b/>
          <w:bCs/>
          <w:color w:val="000000" w:themeColor="text1"/>
        </w:rPr>
        <w:t>輪候冊人士</w:t>
      </w:r>
      <w:proofErr w:type="gramEnd"/>
      <w:r w:rsidRPr="00C01C50">
        <w:rPr>
          <w:rFonts w:ascii="標楷體" w:eastAsia="標楷體" w:hAnsi="標楷體" w:cs="標楷體"/>
          <w:b/>
          <w:bCs/>
          <w:color w:val="000000" w:themeColor="text1"/>
        </w:rPr>
        <w:t>的低收入照顧者</w:t>
      </w:r>
      <w:r w:rsidRPr="00C01C50">
        <w:rPr>
          <w:rFonts w:ascii="標楷體" w:eastAsia="標楷體" w:hAnsi="標楷體" w:cs="標楷體"/>
          <w:color w:val="000000" w:themeColor="text1"/>
        </w:rPr>
        <w:t>；</w:t>
      </w:r>
      <w:r w:rsidRPr="00C01C50">
        <w:rPr>
          <w:rFonts w:ascii="標楷體" w:eastAsia="標楷體" w:hAnsi="標楷體" w:cs="標楷體"/>
          <w:b/>
          <w:bCs/>
          <w:color w:val="000000" w:themeColor="text1"/>
        </w:rPr>
        <w:t>容許合資格人士同時申領照顧者津貼與傷殘津貼或長者生活津貼</w:t>
      </w:r>
      <w:r w:rsidRPr="00C01C50">
        <w:rPr>
          <w:rFonts w:ascii="標楷體" w:eastAsia="標楷體" w:hAnsi="標楷體" w:cs="標楷體"/>
          <w:color w:val="000000" w:themeColor="text1"/>
        </w:rPr>
        <w:t>；並</w:t>
      </w:r>
      <w:r w:rsidRPr="00C01C50">
        <w:rPr>
          <w:rFonts w:ascii="標楷體" w:eastAsia="標楷體" w:hAnsi="標楷體" w:cs="標楷體"/>
          <w:b/>
          <w:bCs/>
          <w:color w:val="000000" w:themeColor="text1"/>
        </w:rPr>
        <w:t>對照顧多名家屬的照顧者，按被照顧人數發放津貼</w:t>
      </w:r>
      <w:r w:rsidRPr="00C01C50">
        <w:rPr>
          <w:rFonts w:ascii="標楷體" w:eastAsia="標楷體" w:hAnsi="標楷體" w:cs="標楷體"/>
          <w:color w:val="000000" w:themeColor="text1"/>
        </w:rPr>
        <w:t>，以減輕其經濟壓力。</w:t>
      </w:r>
    </w:p>
    <w:p w14:paraId="150DB5EB" w14:textId="77777777" w:rsidR="00EB79C3" w:rsidRPr="00C01C50" w:rsidRDefault="00000000">
      <w:pPr>
        <w:widowControl/>
        <w:jc w:val="center"/>
        <w:rPr>
          <w:rFonts w:ascii="標楷體" w:eastAsia="標楷體" w:hAnsi="標楷體" w:cs="標楷體"/>
          <w:b/>
          <w:bCs/>
          <w:color w:val="000000" w:themeColor="text1"/>
        </w:rPr>
      </w:pPr>
      <w:r w:rsidRPr="00C01C50">
        <w:rPr>
          <w:rFonts w:ascii="標楷體" w:eastAsia="標楷體" w:hAnsi="標楷體" w:cs="標楷體"/>
          <w:b/>
          <w:bCs/>
          <w:color w:val="000000" w:themeColor="text1"/>
        </w:rPr>
        <w:lastRenderedPageBreak/>
        <w:t>（10） 政策制定諮詢架構</w:t>
      </w:r>
    </w:p>
    <w:p w14:paraId="4A08AD45" w14:textId="77777777" w:rsidR="00EB79C3" w:rsidRPr="00C01C50" w:rsidRDefault="00000000">
      <w:pPr>
        <w:widowControl/>
        <w:spacing w:before="240" w:after="240"/>
        <w:ind w:firstLine="496"/>
        <w:rPr>
          <w:rFonts w:ascii="標楷體" w:eastAsia="標楷體" w:hAnsi="標楷體" w:cs="標楷體"/>
          <w:color w:val="000000" w:themeColor="text1"/>
        </w:rPr>
      </w:pPr>
      <w:r w:rsidRPr="00C01C50">
        <w:rPr>
          <w:rFonts w:ascii="標楷體" w:eastAsia="標楷體" w:hAnsi="標楷體" w:cs="標楷體"/>
          <w:color w:val="000000" w:themeColor="text1"/>
        </w:rPr>
        <w:t>本意見書全面涵蓋了殘疾人士在日常各個領域的切實需求。儘管前文已建議政府設立諮詢架構及開展專項調查，惟殘疾人士的福祉往往牽涉多個政府決策部門，相較於分散處理，若能在政策制定之初便透過跨局協作主動納入殘疾人士視角，將能更精</w:t>
      </w:r>
      <w:proofErr w:type="gramStart"/>
      <w:r w:rsidRPr="00C01C50">
        <w:rPr>
          <w:rFonts w:ascii="標楷體" w:eastAsia="標楷體" w:hAnsi="標楷體" w:cs="標楷體"/>
          <w:color w:val="000000" w:themeColor="text1"/>
        </w:rPr>
        <w:t>準</w:t>
      </w:r>
      <w:proofErr w:type="gramEnd"/>
      <w:r w:rsidRPr="00C01C50">
        <w:rPr>
          <w:rFonts w:ascii="標楷體" w:eastAsia="標楷體" w:hAnsi="標楷體" w:cs="標楷體"/>
          <w:color w:val="000000" w:themeColor="text1"/>
        </w:rPr>
        <w:t>回應其身心需要，並使公共資源運用更具效益。</w:t>
      </w:r>
    </w:p>
    <w:p w14:paraId="49EC130C" w14:textId="77777777" w:rsidR="00EB79C3" w:rsidRPr="00C01C50" w:rsidRDefault="00000000">
      <w:pPr>
        <w:widowControl/>
        <w:spacing w:before="240" w:after="240"/>
        <w:ind w:firstLine="496"/>
        <w:rPr>
          <w:rFonts w:ascii="標楷體" w:eastAsia="標楷體" w:hAnsi="標楷體" w:cs="標楷體"/>
          <w:color w:val="000000" w:themeColor="text1"/>
        </w:rPr>
      </w:pPr>
      <w:r w:rsidRPr="00C01C50">
        <w:rPr>
          <w:rFonts w:ascii="標楷體" w:eastAsia="標楷體" w:hAnsi="標楷體" w:cs="標楷體"/>
          <w:color w:val="000000" w:themeColor="text1"/>
        </w:rPr>
        <w:t>國家《殘疾人保障和發展“十五五”規劃》亦明確指出，須保障殘疾人平等權益，並列明須「引導各級中國殘疾人聯合會積極參與人民團體協商」，核心旨在發揮橋樑作用，確保殘疾人在涉及其權益的公共政策制定與社會治理中能主動發聲、協商解決問題。為貫徹「通用設計主流化」，確保各項政策</w:t>
      </w:r>
      <w:proofErr w:type="gramStart"/>
      <w:r w:rsidRPr="00C01C50">
        <w:rPr>
          <w:rFonts w:ascii="標楷體" w:eastAsia="標楷體" w:hAnsi="標楷體" w:cs="標楷體"/>
          <w:color w:val="000000" w:themeColor="text1"/>
        </w:rPr>
        <w:t>措施均能兼顧</w:t>
      </w:r>
      <w:proofErr w:type="gramEnd"/>
      <w:r w:rsidRPr="00C01C50">
        <w:rPr>
          <w:rFonts w:ascii="標楷體" w:eastAsia="標楷體" w:hAnsi="標楷體" w:cs="標楷體"/>
          <w:color w:val="000000" w:themeColor="text1"/>
        </w:rPr>
        <w:t>並滿足包括殘疾人士在內的所有市民，本會促請特區政府從制度層面推動跨局協作，特此建議：</w:t>
      </w:r>
    </w:p>
    <w:p w14:paraId="00A38B2E" w14:textId="77777777" w:rsidR="00EB79C3" w:rsidRPr="00C01C50" w:rsidRDefault="00000000">
      <w:pPr>
        <w:widowControl/>
        <w:spacing w:before="280"/>
        <w:rPr>
          <w:rFonts w:ascii="標楷體" w:eastAsia="標楷體" w:hAnsi="標楷體" w:cs="標楷體"/>
          <w:color w:val="000000" w:themeColor="text1"/>
          <w:u w:val="single"/>
        </w:rPr>
      </w:pPr>
      <w:r w:rsidRPr="00C01C50">
        <w:rPr>
          <w:rFonts w:ascii="標楷體" w:eastAsia="標楷體" w:hAnsi="標楷體" w:cs="標楷體"/>
          <w:color w:val="000000" w:themeColor="text1"/>
          <w:u w:val="single"/>
        </w:rPr>
        <w:t>深化跨局協作與殘疾人士參與，落實「通用設計主流化」</w:t>
      </w:r>
    </w:p>
    <w:p w14:paraId="1D1F12B2" w14:textId="77777777" w:rsidR="00EB79C3" w:rsidRPr="00C01C50" w:rsidRDefault="00000000">
      <w:pPr>
        <w:widowControl/>
        <w:numPr>
          <w:ilvl w:val="0"/>
          <w:numId w:val="17"/>
        </w:numPr>
        <w:rPr>
          <w:rFonts w:ascii="標楷體" w:eastAsia="標楷體" w:hAnsi="標楷體" w:cs="標楷體"/>
          <w:color w:val="000000" w:themeColor="text1"/>
        </w:rPr>
      </w:pPr>
      <w:r w:rsidRPr="00C01C50">
        <w:rPr>
          <w:rFonts w:ascii="標楷體" w:eastAsia="標楷體" w:hAnsi="標楷體" w:cs="標楷體"/>
          <w:b/>
          <w:bCs/>
          <w:color w:val="000000" w:themeColor="text1"/>
        </w:rPr>
        <w:t>借</w:t>
      </w:r>
      <w:proofErr w:type="gramStart"/>
      <w:r w:rsidRPr="00C01C50">
        <w:rPr>
          <w:rFonts w:ascii="標楷體" w:eastAsia="標楷體" w:hAnsi="標楷體" w:cs="標楷體"/>
          <w:b/>
          <w:bCs/>
          <w:color w:val="000000" w:themeColor="text1"/>
        </w:rPr>
        <w:t>鑑</w:t>
      </w:r>
      <w:proofErr w:type="gramEnd"/>
      <w:r w:rsidRPr="00C01C50">
        <w:rPr>
          <w:rFonts w:ascii="標楷體" w:eastAsia="標楷體" w:hAnsi="標楷體" w:cs="標楷體"/>
          <w:b/>
          <w:bCs/>
          <w:color w:val="000000" w:themeColor="text1"/>
        </w:rPr>
        <w:t>婦女事務委員會架構，成立「殘疾人事務委員會」：</w:t>
      </w:r>
      <w:r w:rsidRPr="00C01C50">
        <w:rPr>
          <w:rFonts w:ascii="標楷體" w:eastAsia="標楷體" w:hAnsi="標楷體" w:cs="標楷體"/>
          <w:color w:val="000000" w:themeColor="text1"/>
        </w:rPr>
        <w:t xml:space="preserve">成員涵蓋官方與非官方代表，專責審視各決策局涉及殘疾人士的政策，並就跨局協調與措施優化向政府提出專業建議。 </w:t>
      </w:r>
    </w:p>
    <w:p w14:paraId="4C1CE5DF" w14:textId="77777777" w:rsidR="00EB79C3" w:rsidRPr="00C01C50" w:rsidRDefault="00EB79C3">
      <w:pPr>
        <w:widowControl/>
        <w:ind w:left="720"/>
        <w:rPr>
          <w:rFonts w:ascii="標楷體" w:eastAsia="標楷體" w:hAnsi="標楷體" w:cs="標楷體"/>
          <w:color w:val="000000" w:themeColor="text1"/>
        </w:rPr>
      </w:pPr>
    </w:p>
    <w:p w14:paraId="0BAB6BA0" w14:textId="77777777" w:rsidR="00EB79C3" w:rsidRPr="00C01C50" w:rsidRDefault="00000000">
      <w:pPr>
        <w:widowControl/>
        <w:numPr>
          <w:ilvl w:val="0"/>
          <w:numId w:val="5"/>
        </w:numPr>
        <w:rPr>
          <w:rFonts w:ascii="標楷體" w:eastAsia="標楷體" w:hAnsi="標楷體" w:cs="標楷體"/>
          <w:color w:val="000000" w:themeColor="text1"/>
        </w:rPr>
      </w:pPr>
      <w:r w:rsidRPr="00C01C50">
        <w:rPr>
          <w:rFonts w:ascii="標楷體" w:eastAsia="標楷體" w:hAnsi="標楷體" w:cs="標楷體"/>
          <w:b/>
          <w:bCs/>
          <w:color w:val="000000" w:themeColor="text1"/>
        </w:rPr>
        <w:t>於政府內部設立「殘疾人事務工作組」：</w:t>
      </w:r>
      <w:r w:rsidRPr="00C01C50">
        <w:rPr>
          <w:rFonts w:ascii="標楷體" w:eastAsia="標楷體" w:hAnsi="標楷體" w:cs="標楷體"/>
          <w:color w:val="000000" w:themeColor="text1"/>
        </w:rPr>
        <w:t>確保各決策局在制定與殘疾人士相關的政策或措施時，均主動諮詢上述委員會的意見，以便在決策源頭全面納入</w:t>
      </w:r>
      <w:proofErr w:type="gramStart"/>
      <w:r w:rsidRPr="00C01C50">
        <w:rPr>
          <w:rFonts w:ascii="標楷體" w:eastAsia="標楷體" w:hAnsi="標楷體" w:cs="標楷體"/>
          <w:color w:val="000000" w:themeColor="text1"/>
        </w:rPr>
        <w:t>持份者需求</w:t>
      </w:r>
      <w:proofErr w:type="gramEnd"/>
      <w:r w:rsidRPr="00C01C50">
        <w:rPr>
          <w:rFonts w:ascii="標楷體" w:eastAsia="標楷體" w:hAnsi="標楷體" w:cs="標楷體"/>
          <w:color w:val="000000" w:themeColor="text1"/>
        </w:rPr>
        <w:t xml:space="preserve">，積極落實「通用設計主流化」。 </w:t>
      </w:r>
    </w:p>
    <w:p w14:paraId="4A4C9F8F" w14:textId="77777777" w:rsidR="00EB79C3" w:rsidRPr="00C01C50" w:rsidRDefault="00EB79C3">
      <w:pPr>
        <w:widowControl/>
        <w:rPr>
          <w:rFonts w:ascii="標楷體" w:eastAsia="標楷體" w:hAnsi="標楷體" w:cs="標楷體"/>
          <w:b/>
          <w:bCs/>
          <w:color w:val="000000" w:themeColor="text1"/>
        </w:rPr>
      </w:pPr>
    </w:p>
    <w:p w14:paraId="789200E5" w14:textId="77777777" w:rsidR="00EB79C3" w:rsidRPr="00C01C50" w:rsidRDefault="00EB79C3">
      <w:pPr>
        <w:widowControl/>
        <w:jc w:val="center"/>
        <w:rPr>
          <w:rFonts w:ascii="標楷體" w:eastAsia="標楷體" w:hAnsi="標楷體" w:cs="標楷體"/>
          <w:color w:val="000000" w:themeColor="text1"/>
        </w:rPr>
      </w:pPr>
      <w:bookmarkStart w:id="8" w:name="_heading=h.gjdgxs" w:colFirst="0" w:colLast="0"/>
      <w:bookmarkEnd w:id="8"/>
    </w:p>
    <w:p w14:paraId="14394A21" w14:textId="77777777" w:rsidR="00EB79C3" w:rsidRPr="00C01C50" w:rsidRDefault="00EB79C3">
      <w:pPr>
        <w:widowControl/>
        <w:jc w:val="center"/>
        <w:rPr>
          <w:rFonts w:ascii="標楷體" w:eastAsia="標楷體" w:hAnsi="標楷體" w:cs="標楷體"/>
          <w:color w:val="000000" w:themeColor="text1"/>
        </w:rPr>
      </w:pPr>
    </w:p>
    <w:p w14:paraId="74DD8E0E" w14:textId="77777777" w:rsidR="00EB79C3" w:rsidRPr="00C01C50" w:rsidRDefault="00EB79C3">
      <w:pPr>
        <w:widowControl/>
        <w:jc w:val="center"/>
        <w:rPr>
          <w:rFonts w:ascii="標楷體" w:eastAsia="標楷體" w:hAnsi="標楷體" w:cs="標楷體"/>
          <w:color w:val="000000" w:themeColor="text1"/>
        </w:rPr>
      </w:pPr>
    </w:p>
    <w:p w14:paraId="729FA685" w14:textId="77777777" w:rsidR="00EB79C3" w:rsidRPr="00C01C50" w:rsidRDefault="00EB79C3">
      <w:pPr>
        <w:widowControl/>
        <w:jc w:val="center"/>
        <w:rPr>
          <w:rFonts w:ascii="標楷體" w:eastAsia="標楷體" w:hAnsi="標楷體" w:cs="標楷體"/>
          <w:color w:val="000000" w:themeColor="text1"/>
        </w:rPr>
      </w:pPr>
    </w:p>
    <w:p w14:paraId="71C42AD5" w14:textId="77777777" w:rsidR="00EB79C3" w:rsidRPr="00C01C50" w:rsidRDefault="00EB79C3">
      <w:pPr>
        <w:widowControl/>
        <w:jc w:val="center"/>
        <w:rPr>
          <w:rFonts w:ascii="標楷體" w:eastAsia="標楷體" w:hAnsi="標楷體" w:cs="標楷體"/>
          <w:color w:val="000000" w:themeColor="text1"/>
        </w:rPr>
      </w:pPr>
    </w:p>
    <w:p w14:paraId="0DAC2A96" w14:textId="77777777" w:rsidR="00EB79C3" w:rsidRPr="00C01C50" w:rsidRDefault="00EB79C3">
      <w:pPr>
        <w:widowControl/>
        <w:jc w:val="center"/>
        <w:rPr>
          <w:rFonts w:ascii="標楷體" w:eastAsia="標楷體" w:hAnsi="標楷體" w:cs="標楷體"/>
          <w:color w:val="000000" w:themeColor="text1"/>
        </w:rPr>
      </w:pPr>
    </w:p>
    <w:p w14:paraId="20EA840D" w14:textId="77777777" w:rsidR="00EB79C3" w:rsidRPr="00C01C50" w:rsidRDefault="00EB79C3">
      <w:pPr>
        <w:widowControl/>
        <w:jc w:val="center"/>
        <w:rPr>
          <w:rFonts w:ascii="標楷體" w:eastAsia="標楷體" w:hAnsi="標楷體" w:cs="標楷體"/>
          <w:color w:val="000000" w:themeColor="text1"/>
        </w:rPr>
      </w:pPr>
    </w:p>
    <w:p w14:paraId="5FD8AC1B" w14:textId="77777777" w:rsidR="00EB79C3" w:rsidRPr="00C01C50" w:rsidRDefault="00EB79C3">
      <w:pPr>
        <w:widowControl/>
        <w:jc w:val="center"/>
        <w:rPr>
          <w:rFonts w:ascii="標楷體" w:eastAsia="標楷體" w:hAnsi="標楷體" w:cs="標楷體"/>
          <w:color w:val="000000" w:themeColor="text1"/>
        </w:rPr>
      </w:pPr>
    </w:p>
    <w:p w14:paraId="164F694B" w14:textId="77777777" w:rsidR="00EB79C3" w:rsidRPr="00C01C50" w:rsidRDefault="00EB79C3">
      <w:pPr>
        <w:widowControl/>
        <w:jc w:val="center"/>
        <w:rPr>
          <w:rFonts w:ascii="標楷體" w:eastAsia="標楷體" w:hAnsi="標楷體" w:cs="標楷體"/>
          <w:color w:val="000000" w:themeColor="text1"/>
        </w:rPr>
      </w:pPr>
    </w:p>
    <w:p w14:paraId="7F8721C8" w14:textId="77777777" w:rsidR="00EB79C3" w:rsidRPr="00C01C50" w:rsidRDefault="00EB79C3">
      <w:pPr>
        <w:widowControl/>
        <w:jc w:val="center"/>
        <w:rPr>
          <w:rFonts w:ascii="標楷體" w:eastAsia="標楷體" w:hAnsi="標楷體" w:cs="標楷體"/>
          <w:color w:val="000000" w:themeColor="text1"/>
        </w:rPr>
      </w:pPr>
    </w:p>
    <w:p w14:paraId="7E27F70E" w14:textId="77777777" w:rsidR="00EB79C3" w:rsidRPr="00C01C50" w:rsidRDefault="00EB79C3">
      <w:pPr>
        <w:widowControl/>
        <w:jc w:val="center"/>
        <w:rPr>
          <w:rFonts w:ascii="標楷體" w:eastAsia="標楷體" w:hAnsi="標楷體" w:cs="標楷體"/>
          <w:color w:val="000000" w:themeColor="text1"/>
        </w:rPr>
      </w:pPr>
    </w:p>
    <w:p w14:paraId="5E3DC899" w14:textId="77777777" w:rsidR="00EB79C3" w:rsidRPr="00C01C50" w:rsidRDefault="00EB79C3">
      <w:pPr>
        <w:widowControl/>
        <w:jc w:val="center"/>
        <w:rPr>
          <w:rFonts w:ascii="標楷體" w:eastAsia="標楷體" w:hAnsi="標楷體" w:cs="標楷體"/>
          <w:color w:val="000000" w:themeColor="text1"/>
        </w:rPr>
      </w:pPr>
    </w:p>
    <w:p w14:paraId="034580CF" w14:textId="77777777" w:rsidR="00EB79C3" w:rsidRPr="00C01C50" w:rsidRDefault="00EB79C3">
      <w:pPr>
        <w:widowControl/>
        <w:jc w:val="center"/>
        <w:rPr>
          <w:rFonts w:ascii="標楷體" w:eastAsia="標楷體" w:hAnsi="標楷體" w:cs="標楷體"/>
          <w:color w:val="000000" w:themeColor="text1"/>
        </w:rPr>
      </w:pPr>
    </w:p>
    <w:p w14:paraId="1C6B35E8" w14:textId="77777777" w:rsidR="00EB79C3" w:rsidRPr="00C01C50" w:rsidRDefault="00EB79C3">
      <w:pPr>
        <w:widowControl/>
        <w:jc w:val="center"/>
        <w:rPr>
          <w:rFonts w:ascii="標楷體" w:eastAsia="標楷體" w:hAnsi="標楷體" w:cs="標楷體"/>
          <w:color w:val="000000" w:themeColor="text1"/>
        </w:rPr>
      </w:pPr>
    </w:p>
    <w:p w14:paraId="57FFBB4E" w14:textId="77777777" w:rsidR="00EB79C3" w:rsidRPr="00C01C50" w:rsidRDefault="00EB79C3">
      <w:pPr>
        <w:widowControl/>
        <w:jc w:val="center"/>
        <w:rPr>
          <w:rFonts w:ascii="標楷體" w:eastAsia="標楷體" w:hAnsi="標楷體" w:cs="標楷體"/>
          <w:color w:val="000000" w:themeColor="text1"/>
        </w:rPr>
      </w:pPr>
    </w:p>
    <w:p w14:paraId="08C18EC2" w14:textId="77777777" w:rsidR="00EB79C3" w:rsidRPr="00C01C50" w:rsidRDefault="00EB79C3">
      <w:pPr>
        <w:widowControl/>
        <w:jc w:val="center"/>
        <w:rPr>
          <w:rFonts w:ascii="標楷體" w:eastAsia="標楷體" w:hAnsi="標楷體" w:cs="標楷體"/>
          <w:color w:val="000000" w:themeColor="text1"/>
        </w:rPr>
      </w:pPr>
    </w:p>
    <w:p w14:paraId="048E5FC7" w14:textId="77777777" w:rsidR="00EB79C3" w:rsidRPr="00C01C50" w:rsidRDefault="00EB79C3">
      <w:pPr>
        <w:widowControl/>
        <w:jc w:val="center"/>
        <w:rPr>
          <w:rFonts w:ascii="標楷體" w:eastAsia="標楷體" w:hAnsi="標楷體" w:cs="標楷體"/>
          <w:color w:val="000000" w:themeColor="text1"/>
        </w:rPr>
      </w:pPr>
    </w:p>
    <w:p w14:paraId="64FD0AB7" w14:textId="77777777" w:rsidR="00EB79C3" w:rsidRPr="00C01C50" w:rsidRDefault="00EB79C3">
      <w:pPr>
        <w:widowControl/>
        <w:jc w:val="center"/>
        <w:rPr>
          <w:rFonts w:ascii="標楷體" w:eastAsia="標楷體" w:hAnsi="標楷體" w:cs="標楷體"/>
          <w:color w:val="000000" w:themeColor="text1"/>
        </w:rPr>
      </w:pPr>
    </w:p>
    <w:p w14:paraId="5A90FBE0" w14:textId="77777777" w:rsidR="00EB79C3" w:rsidRPr="00C01C50" w:rsidRDefault="00EB79C3">
      <w:pPr>
        <w:widowControl/>
        <w:rPr>
          <w:rFonts w:ascii="標楷體" w:eastAsia="標楷體" w:hAnsi="標楷體" w:cs="標楷體"/>
          <w:color w:val="000000" w:themeColor="text1"/>
        </w:rPr>
      </w:pPr>
    </w:p>
    <w:p w14:paraId="071BA1B6" w14:textId="77777777" w:rsidR="00EB79C3" w:rsidRPr="00C01C50" w:rsidRDefault="00EB79C3">
      <w:pPr>
        <w:widowControl/>
        <w:rPr>
          <w:rFonts w:ascii="標楷體" w:eastAsia="標楷體" w:hAnsi="標楷體" w:cs="標楷體"/>
          <w:color w:val="000000" w:themeColor="text1"/>
        </w:rPr>
      </w:pPr>
    </w:p>
    <w:p w14:paraId="4A1774B8" w14:textId="77777777" w:rsidR="00EB79C3" w:rsidRPr="00C01C50" w:rsidRDefault="00EB79C3">
      <w:pPr>
        <w:widowControl/>
        <w:jc w:val="center"/>
        <w:rPr>
          <w:rFonts w:ascii="標楷體" w:eastAsia="標楷體" w:hAnsi="標楷體" w:cs="標楷體"/>
          <w:color w:val="000000" w:themeColor="text1"/>
        </w:rPr>
      </w:pPr>
    </w:p>
    <w:p w14:paraId="00E59A21" w14:textId="77777777" w:rsidR="00EB79C3" w:rsidRPr="00C01C50" w:rsidRDefault="00000000">
      <w:pPr>
        <w:widowControl/>
        <w:jc w:val="center"/>
        <w:rPr>
          <w:rFonts w:ascii="標楷體" w:eastAsia="標楷體" w:hAnsi="標楷體" w:cs="標楷體"/>
          <w:color w:val="000000" w:themeColor="text1"/>
        </w:rPr>
        <w:sectPr w:rsidR="00EB79C3" w:rsidRPr="00C01C50">
          <w:pgSz w:w="11906" w:h="16838"/>
          <w:pgMar w:top="1440" w:right="1440" w:bottom="1440" w:left="1440" w:header="851" w:footer="992" w:gutter="0"/>
          <w:cols w:space="720"/>
        </w:sectPr>
      </w:pPr>
      <w:r w:rsidRPr="00C01C50">
        <w:rPr>
          <w:rFonts w:ascii="標楷體" w:eastAsia="標楷體" w:hAnsi="標楷體" w:cs="標楷體"/>
          <w:color w:val="000000" w:themeColor="text1"/>
        </w:rPr>
        <w:t>〈完〉</w:t>
      </w:r>
    </w:p>
    <w:p w14:paraId="03568AF4" w14:textId="77777777" w:rsidR="00EB79C3" w:rsidRPr="00C01C50" w:rsidRDefault="00EB79C3">
      <w:pPr>
        <w:rPr>
          <w:rFonts w:ascii="標楷體" w:eastAsia="標楷體" w:hAnsi="標楷體" w:cs="標楷體"/>
          <w:color w:val="000000" w:themeColor="text1"/>
        </w:rPr>
      </w:pPr>
    </w:p>
    <w:sectPr w:rsidR="00EB79C3" w:rsidRPr="00C01C50">
      <w:type w:val="continuous"/>
      <w:pgSz w:w="11906" w:h="16838"/>
      <w:pgMar w:top="1440" w:right="1440" w:bottom="1440" w:left="1440" w:header="851" w:footer="99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29DC85" w14:textId="77777777" w:rsidR="00902912" w:rsidRDefault="00902912">
      <w:r>
        <w:separator/>
      </w:r>
    </w:p>
  </w:endnote>
  <w:endnote w:type="continuationSeparator" w:id="0">
    <w:p w14:paraId="52C481E9" w14:textId="77777777" w:rsidR="00902912" w:rsidRDefault="00902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embedRegular r:id="rId1" w:subsetted="1" w:fontKey="{1EF272E7-4E3C-467D-994A-FECF543BBD10}"/>
    <w:embedBold r:id="rId2" w:subsetted="1" w:fontKey="{483CD553-2D72-4507-AF41-16B063D3C9D2}"/>
    <w:embedItalic r:id="rId3" w:subsetted="1" w:fontKey="{CC368534-3379-4E60-8131-56FDDC7AC98B}"/>
  </w:font>
  <w:font w:name="Noto Sans Symbols">
    <w:charset w:val="00"/>
    <w:family w:val="auto"/>
    <w:pitch w:val="default"/>
    <w:embedRegular r:id="rId4" w:fontKey="{0A1DC368-D5F3-4C99-BE43-57EFE0622F64}"/>
  </w:font>
  <w:font w:name="Calibri">
    <w:panose1 w:val="020F0502020204030204"/>
    <w:charset w:val="00"/>
    <w:family w:val="swiss"/>
    <w:pitch w:val="variable"/>
    <w:sig w:usb0="E4002EFF" w:usb1="C200247B" w:usb2="00000009" w:usb3="00000000" w:csb0="000001FF" w:csb1="00000000"/>
    <w:embedRegular r:id="rId5" w:fontKey="{801D2BBE-76A0-4372-AD95-3D2AD88825E5}"/>
    <w:embedBold r:id="rId6" w:fontKey="{5DB466B3-7429-4B46-90B2-EB104440E3FF}"/>
  </w:font>
  <w:font w:name="新細明體">
    <w:altName w:val="PMingLiU"/>
    <w:panose1 w:val="02020500000000000000"/>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embedItalic r:id="rId7" w:fontKey="{B927E844-C681-46D6-91D3-F72F528268F4}"/>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8" w:fontKey="{B0DE1D9A-149A-4FF5-B6F2-47D8010A89E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7EB50" w14:textId="77777777" w:rsidR="00EB79C3" w:rsidRDefault="00000000">
    <w:pPr>
      <w:rPr>
        <w:rFonts w:ascii="Times New Roman" w:eastAsia="Times New Roman" w:hAnsi="Times New Roman" w:cs="Times New Roman"/>
      </w:rPr>
    </w:pPr>
    <w:r>
      <w:rPr>
        <w:rFonts w:ascii="Times New Roman" w:eastAsia="Times New Roman" w:hAnsi="Times New Roman" w:cs="Times New Roman"/>
      </w:rPr>
      <w:fldChar w:fldCharType="begin"/>
    </w:r>
    <w:r>
      <w:rPr>
        <w:rFonts w:ascii="Times New Roman" w:eastAsia="Times New Roman" w:hAnsi="Times New Roman" w:cs="Times New Roman"/>
      </w:rPr>
      <w:instrText>PAGE</w:instrText>
    </w:r>
    <w:r>
      <w:rPr>
        <w:rFonts w:ascii="Times New Roman" w:eastAsia="Times New Roman" w:hAnsi="Times New Roman" w:cs="Times New Roman"/>
      </w:rPr>
      <w:fldChar w:fldCharType="separate"/>
    </w:r>
    <w:r w:rsidR="00CC7CC8">
      <w:rPr>
        <w:rFonts w:ascii="Times New Roman" w:eastAsia="Times New Roman" w:hAnsi="Times New Roman" w:cs="Times New Roman"/>
        <w:noProof/>
      </w:rPr>
      <w:t>1</w:t>
    </w:r>
    <w:r>
      <w:rPr>
        <w:rFonts w:ascii="Times New Roman" w:eastAsia="Times New Roman" w:hAnsi="Times New Roman" w:cs="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DD9A39" w14:textId="77777777" w:rsidR="00902912" w:rsidRDefault="00902912">
      <w:r>
        <w:separator/>
      </w:r>
    </w:p>
  </w:footnote>
  <w:footnote w:type="continuationSeparator" w:id="0">
    <w:p w14:paraId="408ED49E" w14:textId="77777777" w:rsidR="00902912" w:rsidRDefault="00902912">
      <w:r>
        <w:continuationSeparator/>
      </w:r>
    </w:p>
  </w:footnote>
  <w:footnote w:id="1">
    <w:p w14:paraId="7730DB28" w14:textId="77777777" w:rsidR="00EB79C3" w:rsidRDefault="00000000">
      <w:pPr>
        <w:rPr>
          <w:rFonts w:ascii="標楷體" w:eastAsia="標楷體" w:hAnsi="標楷體" w:cs="標楷體"/>
          <w:sz w:val="20"/>
          <w:szCs w:val="20"/>
        </w:rPr>
      </w:pPr>
      <w:r>
        <w:rPr>
          <w:vertAlign w:val="superscript"/>
        </w:rPr>
        <w:footnoteRef/>
      </w:r>
      <w:r>
        <w:rPr>
          <w:sz w:val="20"/>
          <w:szCs w:val="20"/>
        </w:rPr>
        <w:t xml:space="preserve"> </w:t>
      </w:r>
      <w:r>
        <w:rPr>
          <w:rFonts w:ascii="標楷體" w:eastAsia="標楷體" w:hAnsi="標楷體" w:cs="標楷體"/>
          <w:sz w:val="20"/>
          <w:szCs w:val="20"/>
        </w:rPr>
        <w:t>本會於2025年進行的「文體旅設施無障礙巡查」發現76個文體旅場所中 ，58.2% 基礎設施未能完全符合《設計手冊》標準︰</w:t>
      </w:r>
      <w:hyperlink r:id="rId1">
        <w:r>
          <w:rPr>
            <w:rFonts w:ascii="標楷體" w:eastAsia="標楷體" w:hAnsi="標楷體" w:cs="標楷體"/>
            <w:color w:val="1155CC"/>
            <w:sz w:val="20"/>
            <w:szCs w:val="20"/>
            <w:u w:val="single"/>
          </w:rPr>
          <w:t>https://www.rehabsociety.org.hk/zh-hant/%E6%96%87%E9%AB%94%E6%97%85%E8%A8%AD%E6%96%BD%E7%84%A1%E9%9A%9C%E7%A4%99%E5%B7%A1%E6%9F%A5%E7%A0%94%E7%A9%B6%E7%B5%90%E6%9E%9C-chinese-version-only/</w:t>
        </w:r>
      </w:hyperlink>
      <w:r>
        <w:rPr>
          <w:rFonts w:ascii="標楷體" w:eastAsia="標楷體" w:hAnsi="標楷體" w:cs="標楷體"/>
          <w:sz w:val="20"/>
          <w:szCs w:val="20"/>
        </w:rPr>
        <w:t xml:space="preserve"> </w:t>
      </w:r>
    </w:p>
  </w:footnote>
  <w:footnote w:id="2">
    <w:p w14:paraId="28548E09" w14:textId="77777777" w:rsidR="00EB79C3" w:rsidRDefault="00000000">
      <w:pPr>
        <w:rPr>
          <w:rFonts w:ascii="標楷體" w:eastAsia="標楷體" w:hAnsi="標楷體" w:cs="標楷體"/>
          <w:sz w:val="20"/>
          <w:szCs w:val="20"/>
        </w:rPr>
      </w:pPr>
      <w:r>
        <w:rPr>
          <w:vertAlign w:val="superscript"/>
        </w:rPr>
        <w:footnoteRef/>
      </w:r>
      <w:r>
        <w:rPr>
          <w:rFonts w:ascii="標楷體" w:eastAsia="標楷體" w:hAnsi="標楷體" w:cs="標楷體"/>
          <w:sz w:val="20"/>
          <w:szCs w:val="20"/>
        </w:rPr>
        <w:t xml:space="preserve"> </w:t>
      </w:r>
      <w:r>
        <w:rPr>
          <w:rFonts w:ascii="標楷體" w:eastAsia="標楷體" w:hAnsi="標楷體" w:cs="標楷體"/>
          <w:sz w:val="18"/>
          <w:szCs w:val="18"/>
        </w:rPr>
        <w:t xml:space="preserve">立法會. (2025年2月18日). 支援殘疾人士事宜小組委員會利便殘疾人士出行的措施及服務 (文件編號：CB(1)215/2025(03)). 香港特別行政區立法會.取自: </w:t>
      </w:r>
      <w:hyperlink r:id="rId2">
        <w:r>
          <w:rPr>
            <w:rFonts w:ascii="標楷體" w:eastAsia="標楷體" w:hAnsi="標楷體" w:cs="標楷體"/>
            <w:color w:val="0563C1"/>
            <w:sz w:val="18"/>
            <w:szCs w:val="18"/>
            <w:u w:val="single"/>
          </w:rPr>
          <w:t>https://www.legco.gov.hk/yr2023/chinese/hc/sub_com/hs53/papers/hs5320250218cb1-215-3-c.pdf</w:t>
        </w:r>
      </w:hyperlink>
      <w:r>
        <w:rPr>
          <w:rFonts w:ascii="標楷體" w:eastAsia="標楷體" w:hAnsi="標楷體" w:cs="標楷體"/>
          <w:sz w:val="18"/>
          <w:szCs w:val="18"/>
        </w:rPr>
        <w:t xml:space="preserve"> </w:t>
      </w:r>
    </w:p>
  </w:footnote>
  <w:footnote w:id="3">
    <w:p w14:paraId="4ED9B687" w14:textId="77777777" w:rsidR="00EB79C3" w:rsidRDefault="00000000">
      <w:pPr>
        <w:widowControl/>
        <w:rPr>
          <w:rFonts w:ascii="標楷體" w:eastAsia="標楷體" w:hAnsi="標楷體" w:cs="標楷體"/>
          <w:sz w:val="18"/>
          <w:szCs w:val="18"/>
        </w:rPr>
      </w:pPr>
      <w:r>
        <w:rPr>
          <w:vertAlign w:val="superscript"/>
        </w:rPr>
        <w:footnoteRef/>
      </w:r>
      <w:r>
        <w:rPr>
          <w:rFonts w:ascii="標楷體" w:eastAsia="標楷體" w:hAnsi="標楷體" w:cs="標楷體"/>
          <w:sz w:val="18"/>
          <w:szCs w:val="18"/>
        </w:rPr>
        <w:t xml:space="preserve"> 根據政府於立法會的回應，截至2025年6月30日，車齡10-14年，及15年或以上的專營巴士共1932 及202輛。</w:t>
      </w:r>
      <w:hyperlink r:id="rId3">
        <w:r>
          <w:rPr>
            <w:rFonts w:ascii="標楷體" w:eastAsia="標楷體" w:hAnsi="標楷體" w:cs="標楷體"/>
            <w:color w:val="1155CC"/>
            <w:sz w:val="18"/>
            <w:szCs w:val="18"/>
            <w:u w:val="single"/>
          </w:rPr>
          <w:t>https://www.legco.gov.hk/yr2024/chinese/panels/ea/papers/eatp20241216cb1-1225-1-c.pdf</w:t>
        </w:r>
      </w:hyperlink>
      <w:r>
        <w:rPr>
          <w:rFonts w:ascii="標楷體" w:eastAsia="標楷體" w:hAnsi="標楷體" w:cs="標楷體"/>
          <w:sz w:val="18"/>
          <w:szCs w:val="18"/>
        </w:rPr>
        <w:t xml:space="preserve"> </w:t>
      </w:r>
    </w:p>
  </w:footnote>
  <w:footnote w:id="4">
    <w:p w14:paraId="113C28EB" w14:textId="77777777" w:rsidR="00EB79C3" w:rsidRDefault="00000000">
      <w:pPr>
        <w:rPr>
          <w:rFonts w:ascii="標楷體" w:eastAsia="標楷體" w:hAnsi="標楷體" w:cs="標楷體"/>
          <w:sz w:val="20"/>
          <w:szCs w:val="20"/>
        </w:rPr>
      </w:pPr>
      <w:r>
        <w:rPr>
          <w:vertAlign w:val="superscript"/>
        </w:rPr>
        <w:footnoteRef/>
      </w:r>
      <w:r>
        <w:rPr>
          <w:rFonts w:ascii="標楷體" w:eastAsia="標楷體" w:hAnsi="標楷體" w:cs="標楷體"/>
          <w:sz w:val="20"/>
          <w:szCs w:val="20"/>
        </w:rPr>
        <w:t xml:space="preserve"> </w:t>
      </w:r>
      <w:r>
        <w:rPr>
          <w:rFonts w:ascii="標楷體" w:eastAsia="標楷體" w:hAnsi="標楷體" w:cs="標楷體"/>
          <w:sz w:val="18"/>
          <w:szCs w:val="18"/>
        </w:rPr>
        <w:t>2023年的「殘疾人士使用港鐵升降機巡查研究」發現，在有多個出口但僅有一部升降機的港鐵站（如藍田站、太古站、銅鑼灣站、上環站），殘疾人士要前往沒有升降機連接的出口，所需時間比健全人士差距最長超過半小時。此外，殘疾人士使用升降機往返車站不同樓層所需的時間，是健全人士使用扶手電梯（或樓梯）到達相同地點的2.4倍，耗時的上落過程降低了他們使用港鐵出行的意欲。</w:t>
      </w:r>
      <w:hyperlink r:id="rId4">
        <w:r>
          <w:rPr>
            <w:rFonts w:ascii="標楷體" w:eastAsia="標楷體" w:hAnsi="標楷體" w:cs="標楷體"/>
            <w:color w:val="0563C1"/>
            <w:sz w:val="18"/>
            <w:szCs w:val="18"/>
            <w:u w:val="single"/>
          </w:rPr>
          <w:t>https://www.rehabsociety.org.hk/zh-hant/%E6%AE%98%E7%96%BE%E4%BA%BA%E5%A3%AB%E4%BD%BF%E7%94%A8%E6%B8%AF%E9%90%B5%E5%8D%87%E9%99%8D%E6%A9%9F%E5%B7%A1%E6%9F%A5%E7%A0%94%E7%A9%B6/</w:t>
        </w:r>
      </w:hyperlink>
      <w:r>
        <w:rPr>
          <w:rFonts w:ascii="標楷體" w:eastAsia="標楷體" w:hAnsi="標楷體" w:cs="標楷體"/>
          <w:sz w:val="18"/>
          <w:szCs w:val="18"/>
        </w:rPr>
        <w:t xml:space="preserve"> </w:t>
      </w:r>
    </w:p>
  </w:footnote>
  <w:footnote w:id="5">
    <w:p w14:paraId="4BFA8AF9" w14:textId="77777777" w:rsidR="00EB79C3" w:rsidRDefault="00000000">
      <w:pPr>
        <w:rPr>
          <w:rFonts w:ascii="標楷體" w:eastAsia="標楷體" w:hAnsi="標楷體" w:cs="標楷體"/>
          <w:sz w:val="18"/>
          <w:szCs w:val="18"/>
        </w:rPr>
      </w:pPr>
      <w:r>
        <w:rPr>
          <w:vertAlign w:val="superscript"/>
        </w:rPr>
        <w:footnoteRef/>
      </w:r>
      <w:r>
        <w:rPr>
          <w:rFonts w:ascii="標楷體" w:eastAsia="標楷體" w:hAnsi="標楷體" w:cs="標楷體"/>
          <w:sz w:val="18"/>
          <w:szCs w:val="18"/>
        </w:rPr>
        <w:t xml:space="preserve"> WHO 將 輔助科技（Assistive Technology） 定義為輔助產品及其相關服務與系統的總稱，目的是幫助殘疾人士、長者及有慢性病或功能退化的人士提升活動、溝通、照顧及參與社會的能力。它包括實體器材（如輪椅、眼鏡、助聽器、義肢）、數碼工具（如應用程式和軟件）以及環境改造（如扶手）。</w:t>
      </w:r>
    </w:p>
  </w:footnote>
  <w:footnote w:id="6">
    <w:p w14:paraId="65B256DC" w14:textId="77777777" w:rsidR="00EB79C3" w:rsidRDefault="00000000">
      <w:pPr>
        <w:widowControl/>
        <w:rPr>
          <w:rFonts w:ascii="標楷體" w:eastAsia="標楷體" w:hAnsi="標楷體" w:cs="標楷體"/>
          <w:sz w:val="18"/>
          <w:szCs w:val="18"/>
        </w:rPr>
      </w:pPr>
      <w:r>
        <w:rPr>
          <w:vertAlign w:val="superscript"/>
        </w:rPr>
        <w:footnoteRef/>
      </w:r>
      <w:r>
        <w:rPr>
          <w:rFonts w:ascii="標楷體" w:eastAsia="標楷體" w:hAnsi="標楷體" w:cs="標楷體"/>
          <w:sz w:val="20"/>
          <w:szCs w:val="20"/>
        </w:rPr>
        <w:t xml:space="preserve"> </w:t>
      </w:r>
      <w:r>
        <w:rPr>
          <w:rFonts w:ascii="標楷體" w:eastAsia="標楷體" w:hAnsi="標楷體" w:cs="標楷體"/>
          <w:sz w:val="18"/>
          <w:szCs w:val="18"/>
        </w:rPr>
        <w:t>支持惠民科研︰</w:t>
      </w:r>
      <w:hyperlink r:id="rId5">
        <w:r>
          <w:rPr>
            <w:rFonts w:ascii="標楷體" w:eastAsia="標楷體" w:hAnsi="標楷體" w:cs="標楷體"/>
            <w:color w:val="1155CC"/>
            <w:sz w:val="18"/>
            <w:szCs w:val="18"/>
            <w:u w:val="single"/>
          </w:rPr>
          <w:t>https://www.policyaddress.gov.hk/2025/tc/p152.html</w:t>
        </w:r>
      </w:hyperlink>
      <w:r>
        <w:rPr>
          <w:rFonts w:ascii="標楷體" w:eastAsia="標楷體" w:hAnsi="標楷體" w:cs="標楷體"/>
          <w:sz w:val="18"/>
          <w:szCs w:val="18"/>
        </w:rPr>
        <w:t xml:space="preserve"> </w:t>
      </w:r>
    </w:p>
  </w:footnote>
  <w:footnote w:id="7">
    <w:p w14:paraId="05BB1F0D" w14:textId="77777777" w:rsidR="00EB79C3" w:rsidRDefault="00000000">
      <w:pPr>
        <w:widowControl/>
        <w:rPr>
          <w:rFonts w:ascii="標楷體" w:eastAsia="標楷體" w:hAnsi="標楷體" w:cs="標楷體"/>
          <w:sz w:val="20"/>
          <w:szCs w:val="20"/>
        </w:rPr>
      </w:pPr>
      <w:r>
        <w:rPr>
          <w:vertAlign w:val="superscript"/>
        </w:rPr>
        <w:footnoteRef/>
      </w:r>
      <w:r>
        <w:rPr>
          <w:rFonts w:ascii="標楷體" w:eastAsia="標楷體" w:hAnsi="標楷體" w:cs="標楷體"/>
          <w:sz w:val="20"/>
          <w:szCs w:val="20"/>
        </w:rPr>
        <w:t xml:space="preserve"> 「暖暖同行」計劃由醫社綜合康復團隊服務動神經元疾病患者，計劃的初步成效顯示患者的存活期由9個月延長到20個月，而住院日數由56日縮短至30日。</w:t>
      </w:r>
    </w:p>
  </w:footnote>
  <w:footnote w:id="8">
    <w:p w14:paraId="76A2E320" w14:textId="77777777" w:rsidR="00EB79C3" w:rsidRDefault="00000000">
      <w:pPr>
        <w:widowControl/>
        <w:rPr>
          <w:rFonts w:ascii="標楷體" w:eastAsia="標楷體" w:hAnsi="標楷體" w:cs="標楷體"/>
          <w:sz w:val="18"/>
          <w:szCs w:val="18"/>
        </w:rPr>
      </w:pPr>
      <w:r>
        <w:rPr>
          <w:vertAlign w:val="superscript"/>
        </w:rPr>
        <w:footnoteRef/>
      </w:r>
      <w:r>
        <w:rPr>
          <w:rFonts w:ascii="標楷體" w:eastAsia="標楷體" w:hAnsi="標楷體" w:cs="標楷體"/>
          <w:sz w:val="18"/>
          <w:szCs w:val="18"/>
        </w:rPr>
        <w:t xml:space="preserve"> 立法會數據透視 ISSH10/2025, </w:t>
      </w:r>
      <w:hyperlink r:id="rId6">
        <w:r>
          <w:rPr>
            <w:rFonts w:ascii="標楷體" w:eastAsia="標楷體" w:hAnsi="標楷體" w:cs="標楷體"/>
            <w:color w:val="1155CC"/>
            <w:sz w:val="18"/>
            <w:szCs w:val="18"/>
            <w:u w:val="single"/>
          </w:rPr>
          <w:t>https://app7.legco.gov.hk/rpdb/tc/uploads/2025/ISSH/ISSH10_2025_20250521_tc.pdf</w:t>
        </w:r>
      </w:hyperlink>
      <w:r>
        <w:rPr>
          <w:rFonts w:ascii="標楷體" w:eastAsia="標楷體" w:hAnsi="標楷體" w:cs="標楷體"/>
          <w:sz w:val="18"/>
          <w:szCs w:val="18"/>
        </w:rPr>
        <w:t xml:space="preserve"> </w:t>
      </w:r>
    </w:p>
  </w:footnote>
  <w:footnote w:id="9">
    <w:p w14:paraId="61F045AC" w14:textId="77777777" w:rsidR="00EB79C3" w:rsidRDefault="00000000">
      <w:pPr>
        <w:widowControl/>
        <w:rPr>
          <w:rFonts w:ascii="標楷體" w:eastAsia="標楷體" w:hAnsi="標楷體" w:cs="標楷體"/>
          <w:sz w:val="18"/>
          <w:szCs w:val="18"/>
        </w:rPr>
      </w:pPr>
      <w:r>
        <w:rPr>
          <w:vertAlign w:val="superscript"/>
        </w:rPr>
        <w:footnoteRef/>
      </w:r>
      <w:r>
        <w:rPr>
          <w:rFonts w:ascii="Times New Roman" w:eastAsia="Times New Roman" w:hAnsi="Times New Roman" w:cs="Times New Roman"/>
          <w:sz w:val="18"/>
          <w:szCs w:val="18"/>
        </w:rPr>
        <w:t xml:space="preserve"> </w:t>
      </w:r>
      <w:r>
        <w:rPr>
          <w:rFonts w:ascii="標楷體" w:eastAsia="標楷體" w:hAnsi="標楷體" w:cs="標楷體"/>
          <w:sz w:val="18"/>
          <w:szCs w:val="18"/>
        </w:rPr>
        <w:t>香港中文大學醫學院那打素護理學院陳裕麗教授於2026年年初開展一項名為「預設照顧計劃（ACP）認知及意向調查」的研究，初期以腦神經疾病及罕見疾病患者及其照顧者為主要對象，截至4月1日共收集266份問卷。</w:t>
      </w:r>
    </w:p>
  </w:footnote>
  <w:footnote w:id="10">
    <w:p w14:paraId="59ADCBD9" w14:textId="77777777" w:rsidR="00EB79C3" w:rsidRDefault="00000000">
      <w:pPr>
        <w:widowControl/>
        <w:rPr>
          <w:rFonts w:ascii="標楷體" w:eastAsia="標楷體" w:hAnsi="標楷體" w:cs="標楷體"/>
          <w:sz w:val="18"/>
          <w:szCs w:val="18"/>
        </w:rPr>
      </w:pPr>
      <w:r>
        <w:rPr>
          <w:vertAlign w:val="superscript"/>
        </w:rPr>
        <w:footnoteRef/>
      </w:r>
      <w:r>
        <w:rPr>
          <w:rFonts w:ascii="Arial" w:eastAsia="Arial" w:hAnsi="Arial" w:cs="Arial"/>
          <w:sz w:val="20"/>
          <w:szCs w:val="20"/>
        </w:rPr>
        <w:t xml:space="preserve"> </w:t>
      </w:r>
      <w:r>
        <w:rPr>
          <w:rFonts w:ascii="標楷體" w:eastAsia="標楷體" w:hAnsi="標楷體" w:cs="標楷體"/>
          <w:sz w:val="18"/>
          <w:szCs w:val="18"/>
        </w:rPr>
        <w:t>雖然《條例》訂明，所有年滿18歲並具備精神行為能力的人士，均可為自己訂立「預設醫療指示」，惟本會在前線服務中多次發現，部分患有長期罕見疾病的成年患者，因被醫生認為「尚未進入疾病末期」，而遭拒絕訂立「預設醫療指示」，反映實務操作與政策原意之間仍存在落差。</w:t>
      </w:r>
    </w:p>
  </w:footnote>
  <w:footnote w:id="11">
    <w:p w14:paraId="7B72210A" w14:textId="77777777" w:rsidR="00EB79C3" w:rsidRDefault="00000000">
      <w:pPr>
        <w:widowControl/>
        <w:rPr>
          <w:rFonts w:ascii="標楷體" w:eastAsia="標楷體" w:hAnsi="標楷體" w:cs="標楷體"/>
          <w:sz w:val="18"/>
          <w:szCs w:val="18"/>
        </w:rPr>
      </w:pPr>
      <w:r>
        <w:rPr>
          <w:vertAlign w:val="superscript"/>
        </w:rPr>
        <w:footnoteRef/>
      </w:r>
      <w:r>
        <w:rPr>
          <w:rFonts w:ascii="標楷體" w:eastAsia="標楷體" w:hAnsi="標楷體" w:cs="標楷體"/>
          <w:sz w:val="18"/>
          <w:szCs w:val="18"/>
        </w:rPr>
        <w:t xml:space="preserve"> Lau, K. S., Tse, D. M. W., Chen, T. W. T., Lam, P. T., Lam, PW. M., &amp; C, K. S. (2010). Comparing noncancer and cancer deaths in Hong Kong: A retrospective review. </w:t>
      </w:r>
      <w:r>
        <w:rPr>
          <w:rFonts w:ascii="標楷體" w:eastAsia="標楷體" w:hAnsi="標楷體" w:cs="標楷體"/>
          <w:i/>
          <w:iCs/>
          <w:sz w:val="18"/>
          <w:szCs w:val="18"/>
        </w:rPr>
        <w:t>Journal of Pain and Symptom Management, 40</w:t>
      </w:r>
      <w:r>
        <w:rPr>
          <w:rFonts w:ascii="標楷體" w:eastAsia="標楷體" w:hAnsi="標楷體" w:cs="標楷體"/>
          <w:sz w:val="18"/>
          <w:szCs w:val="18"/>
        </w:rPr>
        <w:t>(5), 704-714.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6F0A1" w14:textId="77777777" w:rsidR="00EB79C3" w:rsidRDefault="00EB79C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10A11A4"/>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0B5456B"/>
    <w:multiLevelType w:val="multilevel"/>
    <w:tmpl w:val="C00AB0C4"/>
    <w:lvl w:ilvl="0">
      <w:start w:val="1"/>
      <w:numFmt w:val="decimal"/>
      <w:lvlText w:val="6.%1"/>
      <w:lvlJc w:val="left"/>
      <w:pPr>
        <w:ind w:left="480" w:hanging="480"/>
      </w:pPr>
      <w:rPr>
        <w:u w:val="none"/>
      </w:rPr>
    </w:lvl>
    <w:lvl w:ilvl="1">
      <w:start w:val="1"/>
      <w:numFmt w:val="lowerLetter"/>
      <w:lvlText w:val="%2."/>
      <w:lvlJc w:val="left"/>
      <w:pPr>
        <w:ind w:left="960" w:hanging="480"/>
      </w:pPr>
      <w:rPr>
        <w:u w:val="none"/>
      </w:rPr>
    </w:lvl>
    <w:lvl w:ilvl="2">
      <w:start w:val="1"/>
      <w:numFmt w:val="lowerRoman"/>
      <w:lvlText w:val="%3."/>
      <w:lvlJc w:val="right"/>
      <w:pPr>
        <w:ind w:left="1440" w:hanging="480"/>
      </w:pPr>
      <w:rPr>
        <w:u w:val="none"/>
      </w:rPr>
    </w:lvl>
    <w:lvl w:ilvl="3">
      <w:start w:val="1"/>
      <w:numFmt w:val="decimal"/>
      <w:lvlText w:val="%4."/>
      <w:lvlJc w:val="left"/>
      <w:pPr>
        <w:ind w:left="1920" w:hanging="480"/>
      </w:pPr>
      <w:rPr>
        <w:u w:val="none"/>
      </w:rPr>
    </w:lvl>
    <w:lvl w:ilvl="4">
      <w:start w:val="1"/>
      <w:numFmt w:val="decimal"/>
      <w:lvlText w:val="%5、"/>
      <w:lvlJc w:val="left"/>
      <w:pPr>
        <w:ind w:left="2400" w:hanging="480"/>
      </w:pPr>
      <w:rPr>
        <w:u w:val="none"/>
      </w:rPr>
    </w:lvl>
    <w:lvl w:ilvl="5">
      <w:start w:val="1"/>
      <w:numFmt w:val="lowerRoman"/>
      <w:lvlText w:val="%6."/>
      <w:lvlJc w:val="right"/>
      <w:pPr>
        <w:ind w:left="2880" w:hanging="480"/>
      </w:pPr>
      <w:rPr>
        <w:u w:val="none"/>
      </w:rPr>
    </w:lvl>
    <w:lvl w:ilvl="6">
      <w:start w:val="1"/>
      <w:numFmt w:val="decimal"/>
      <w:lvlText w:val="%7."/>
      <w:lvlJc w:val="left"/>
      <w:pPr>
        <w:ind w:left="3360" w:hanging="480"/>
      </w:pPr>
      <w:rPr>
        <w:u w:val="none"/>
      </w:rPr>
    </w:lvl>
    <w:lvl w:ilvl="7">
      <w:start w:val="1"/>
      <w:numFmt w:val="decimal"/>
      <w:lvlText w:val="%8、"/>
      <w:lvlJc w:val="left"/>
      <w:pPr>
        <w:ind w:left="3840" w:hanging="480"/>
      </w:pPr>
      <w:rPr>
        <w:u w:val="none"/>
      </w:rPr>
    </w:lvl>
    <w:lvl w:ilvl="8">
      <w:start w:val="1"/>
      <w:numFmt w:val="lowerRoman"/>
      <w:lvlText w:val="%9."/>
      <w:lvlJc w:val="right"/>
      <w:pPr>
        <w:ind w:left="4320" w:hanging="480"/>
      </w:pPr>
      <w:rPr>
        <w:u w:val="none"/>
      </w:rPr>
    </w:lvl>
  </w:abstractNum>
  <w:abstractNum w:abstractNumId="2" w15:restartNumberingAfterBreak="0">
    <w:nsid w:val="014F5AC8"/>
    <w:multiLevelType w:val="multilevel"/>
    <w:tmpl w:val="D9BA3A1E"/>
    <w:lvl w:ilvl="0">
      <w:start w:val="3"/>
      <w:numFmt w:val="decimal"/>
      <w:lvlText w:val="%1.7"/>
      <w:lvlJc w:val="left"/>
      <w:pPr>
        <w:ind w:left="480" w:hanging="480"/>
      </w:pPr>
      <w:rPr>
        <w:rFonts w:ascii="標楷體" w:eastAsia="標楷體" w:hAnsi="標楷體" w:cs="標楷體"/>
        <w:b w:val="0"/>
        <w:bCs w:val="0"/>
        <w:sz w:val="24"/>
        <w:szCs w:val="24"/>
        <w:u w:val="none"/>
      </w:rPr>
    </w:lvl>
    <w:lvl w:ilvl="1">
      <w:start w:val="1"/>
      <w:numFmt w:val="lowerLetter"/>
      <w:lvlText w:val="%2."/>
      <w:lvlJc w:val="left"/>
      <w:pPr>
        <w:ind w:left="960" w:hanging="480"/>
      </w:pPr>
      <w:rPr>
        <w:u w:val="none"/>
      </w:rPr>
    </w:lvl>
    <w:lvl w:ilvl="2">
      <w:start w:val="1"/>
      <w:numFmt w:val="lowerRoman"/>
      <w:lvlText w:val="%3."/>
      <w:lvlJc w:val="right"/>
      <w:pPr>
        <w:ind w:left="1440" w:hanging="480"/>
      </w:pPr>
      <w:rPr>
        <w:u w:val="none"/>
      </w:rPr>
    </w:lvl>
    <w:lvl w:ilvl="3">
      <w:start w:val="1"/>
      <w:numFmt w:val="decimal"/>
      <w:lvlText w:val="%4."/>
      <w:lvlJc w:val="left"/>
      <w:pPr>
        <w:ind w:left="1920" w:hanging="480"/>
      </w:pPr>
      <w:rPr>
        <w:u w:val="none"/>
      </w:rPr>
    </w:lvl>
    <w:lvl w:ilvl="4">
      <w:start w:val="1"/>
      <w:numFmt w:val="lowerLetter"/>
      <w:lvlText w:val="%5."/>
      <w:lvlJc w:val="left"/>
      <w:pPr>
        <w:ind w:left="2400" w:hanging="480"/>
      </w:pPr>
      <w:rPr>
        <w:u w:val="none"/>
      </w:rPr>
    </w:lvl>
    <w:lvl w:ilvl="5">
      <w:start w:val="1"/>
      <w:numFmt w:val="lowerRoman"/>
      <w:lvlText w:val="%6."/>
      <w:lvlJc w:val="right"/>
      <w:pPr>
        <w:ind w:left="2880" w:hanging="480"/>
      </w:pPr>
      <w:rPr>
        <w:u w:val="none"/>
      </w:rPr>
    </w:lvl>
    <w:lvl w:ilvl="6">
      <w:start w:val="1"/>
      <w:numFmt w:val="decimal"/>
      <w:lvlText w:val="%7."/>
      <w:lvlJc w:val="left"/>
      <w:pPr>
        <w:ind w:left="3360" w:hanging="480"/>
      </w:pPr>
      <w:rPr>
        <w:u w:val="none"/>
      </w:rPr>
    </w:lvl>
    <w:lvl w:ilvl="7">
      <w:start w:val="1"/>
      <w:numFmt w:val="lowerLetter"/>
      <w:lvlText w:val="%8."/>
      <w:lvlJc w:val="left"/>
      <w:pPr>
        <w:ind w:left="3840" w:hanging="480"/>
      </w:pPr>
      <w:rPr>
        <w:u w:val="none"/>
      </w:rPr>
    </w:lvl>
    <w:lvl w:ilvl="8">
      <w:start w:val="1"/>
      <w:numFmt w:val="lowerRoman"/>
      <w:lvlText w:val="%9."/>
      <w:lvlJc w:val="right"/>
      <w:pPr>
        <w:ind w:left="4320" w:hanging="480"/>
      </w:pPr>
      <w:rPr>
        <w:u w:val="none"/>
      </w:rPr>
    </w:lvl>
  </w:abstractNum>
  <w:abstractNum w:abstractNumId="3" w15:restartNumberingAfterBreak="0">
    <w:nsid w:val="01B47B32"/>
    <w:multiLevelType w:val="multilevel"/>
    <w:tmpl w:val="1CA40112"/>
    <w:lvl w:ilvl="0">
      <w:start w:val="1"/>
      <w:numFmt w:val="decimal"/>
      <w:lvlText w:val="2.%1"/>
      <w:lvlJc w:val="left"/>
      <w:pPr>
        <w:ind w:left="480" w:hanging="480"/>
      </w:pPr>
      <w:rPr>
        <w:u w:val="none"/>
      </w:rPr>
    </w:lvl>
    <w:lvl w:ilvl="1">
      <w:start w:val="1"/>
      <w:numFmt w:val="lowerLetter"/>
      <w:lvlText w:val="%2."/>
      <w:lvlJc w:val="left"/>
      <w:pPr>
        <w:ind w:left="960" w:hanging="480"/>
      </w:pPr>
      <w:rPr>
        <w:u w:val="none"/>
      </w:rPr>
    </w:lvl>
    <w:lvl w:ilvl="2">
      <w:start w:val="1"/>
      <w:numFmt w:val="lowerRoman"/>
      <w:lvlText w:val="%3."/>
      <w:lvlJc w:val="right"/>
      <w:pPr>
        <w:ind w:left="1440" w:hanging="480"/>
      </w:pPr>
      <w:rPr>
        <w:u w:val="none"/>
      </w:rPr>
    </w:lvl>
    <w:lvl w:ilvl="3">
      <w:start w:val="1"/>
      <w:numFmt w:val="decimal"/>
      <w:lvlText w:val="%4."/>
      <w:lvlJc w:val="left"/>
      <w:pPr>
        <w:ind w:left="1920" w:hanging="480"/>
      </w:pPr>
      <w:rPr>
        <w:u w:val="none"/>
      </w:rPr>
    </w:lvl>
    <w:lvl w:ilvl="4">
      <w:start w:val="1"/>
      <w:numFmt w:val="decimal"/>
      <w:lvlText w:val="%5、"/>
      <w:lvlJc w:val="left"/>
      <w:pPr>
        <w:ind w:left="2400" w:hanging="480"/>
      </w:pPr>
      <w:rPr>
        <w:u w:val="none"/>
      </w:rPr>
    </w:lvl>
    <w:lvl w:ilvl="5">
      <w:start w:val="1"/>
      <w:numFmt w:val="lowerRoman"/>
      <w:lvlText w:val="%6."/>
      <w:lvlJc w:val="right"/>
      <w:pPr>
        <w:ind w:left="2880" w:hanging="480"/>
      </w:pPr>
      <w:rPr>
        <w:u w:val="none"/>
      </w:rPr>
    </w:lvl>
    <w:lvl w:ilvl="6">
      <w:start w:val="1"/>
      <w:numFmt w:val="decimal"/>
      <w:lvlText w:val="%7."/>
      <w:lvlJc w:val="left"/>
      <w:pPr>
        <w:ind w:left="3360" w:hanging="480"/>
      </w:pPr>
      <w:rPr>
        <w:u w:val="none"/>
      </w:rPr>
    </w:lvl>
    <w:lvl w:ilvl="7">
      <w:start w:val="1"/>
      <w:numFmt w:val="decimal"/>
      <w:lvlText w:val="%8、"/>
      <w:lvlJc w:val="left"/>
      <w:pPr>
        <w:ind w:left="3840" w:hanging="480"/>
      </w:pPr>
      <w:rPr>
        <w:u w:val="none"/>
      </w:rPr>
    </w:lvl>
    <w:lvl w:ilvl="8">
      <w:start w:val="1"/>
      <w:numFmt w:val="lowerRoman"/>
      <w:lvlText w:val="%9."/>
      <w:lvlJc w:val="right"/>
      <w:pPr>
        <w:ind w:left="4320" w:hanging="480"/>
      </w:pPr>
      <w:rPr>
        <w:u w:val="none"/>
      </w:rPr>
    </w:lvl>
  </w:abstractNum>
  <w:abstractNum w:abstractNumId="4" w15:restartNumberingAfterBreak="0">
    <w:nsid w:val="05E70FE2"/>
    <w:multiLevelType w:val="multilevel"/>
    <w:tmpl w:val="2D22F7D2"/>
    <w:lvl w:ilvl="0">
      <w:start w:val="3"/>
      <w:numFmt w:val="decimal"/>
      <w:lvlText w:val="%1.10"/>
      <w:lvlJc w:val="left"/>
      <w:pPr>
        <w:ind w:left="480" w:hanging="480"/>
      </w:pPr>
      <w:rPr>
        <w:u w:val="none"/>
      </w:rPr>
    </w:lvl>
    <w:lvl w:ilvl="1">
      <w:start w:val="1"/>
      <w:numFmt w:val="lowerLetter"/>
      <w:lvlText w:val="%2."/>
      <w:lvlJc w:val="left"/>
      <w:pPr>
        <w:ind w:left="960" w:hanging="480"/>
      </w:pPr>
      <w:rPr>
        <w:u w:val="none"/>
      </w:rPr>
    </w:lvl>
    <w:lvl w:ilvl="2">
      <w:start w:val="1"/>
      <w:numFmt w:val="lowerRoman"/>
      <w:lvlText w:val="%3."/>
      <w:lvlJc w:val="right"/>
      <w:pPr>
        <w:ind w:left="1440" w:hanging="480"/>
      </w:pPr>
      <w:rPr>
        <w:u w:val="none"/>
      </w:rPr>
    </w:lvl>
    <w:lvl w:ilvl="3">
      <w:start w:val="1"/>
      <w:numFmt w:val="decimal"/>
      <w:lvlText w:val="%4."/>
      <w:lvlJc w:val="left"/>
      <w:pPr>
        <w:ind w:left="1920" w:hanging="480"/>
      </w:pPr>
      <w:rPr>
        <w:u w:val="none"/>
      </w:rPr>
    </w:lvl>
    <w:lvl w:ilvl="4">
      <w:start w:val="1"/>
      <w:numFmt w:val="lowerLetter"/>
      <w:lvlText w:val="%5."/>
      <w:lvlJc w:val="left"/>
      <w:pPr>
        <w:ind w:left="2400" w:hanging="480"/>
      </w:pPr>
      <w:rPr>
        <w:u w:val="none"/>
      </w:rPr>
    </w:lvl>
    <w:lvl w:ilvl="5">
      <w:start w:val="1"/>
      <w:numFmt w:val="lowerRoman"/>
      <w:lvlText w:val="%6."/>
      <w:lvlJc w:val="right"/>
      <w:pPr>
        <w:ind w:left="2880" w:hanging="480"/>
      </w:pPr>
      <w:rPr>
        <w:u w:val="none"/>
      </w:rPr>
    </w:lvl>
    <w:lvl w:ilvl="6">
      <w:start w:val="1"/>
      <w:numFmt w:val="decimal"/>
      <w:lvlText w:val="%7."/>
      <w:lvlJc w:val="left"/>
      <w:pPr>
        <w:ind w:left="3360" w:hanging="480"/>
      </w:pPr>
      <w:rPr>
        <w:u w:val="none"/>
      </w:rPr>
    </w:lvl>
    <w:lvl w:ilvl="7">
      <w:start w:val="1"/>
      <w:numFmt w:val="lowerLetter"/>
      <w:lvlText w:val="%8."/>
      <w:lvlJc w:val="left"/>
      <w:pPr>
        <w:ind w:left="3840" w:hanging="480"/>
      </w:pPr>
      <w:rPr>
        <w:u w:val="none"/>
      </w:rPr>
    </w:lvl>
    <w:lvl w:ilvl="8">
      <w:start w:val="1"/>
      <w:numFmt w:val="lowerRoman"/>
      <w:lvlText w:val="%9."/>
      <w:lvlJc w:val="right"/>
      <w:pPr>
        <w:ind w:left="4320" w:hanging="480"/>
      </w:pPr>
      <w:rPr>
        <w:u w:val="none"/>
      </w:rPr>
    </w:lvl>
  </w:abstractNum>
  <w:abstractNum w:abstractNumId="5" w15:restartNumberingAfterBreak="0">
    <w:nsid w:val="08FE2995"/>
    <w:multiLevelType w:val="multilevel"/>
    <w:tmpl w:val="D4182BA2"/>
    <w:lvl w:ilvl="0">
      <w:start w:val="3"/>
      <w:numFmt w:val="decimal"/>
      <w:lvlText w:val="%1.9"/>
      <w:lvlJc w:val="left"/>
      <w:pPr>
        <w:ind w:left="480" w:hanging="480"/>
      </w:pPr>
      <w:rPr>
        <w:sz w:val="24"/>
        <w:szCs w:val="24"/>
        <w:u w:val="none"/>
      </w:rPr>
    </w:lvl>
    <w:lvl w:ilvl="1">
      <w:start w:val="1"/>
      <w:numFmt w:val="lowerLetter"/>
      <w:lvlText w:val="%2."/>
      <w:lvlJc w:val="left"/>
      <w:pPr>
        <w:ind w:left="960" w:hanging="480"/>
      </w:pPr>
      <w:rPr>
        <w:u w:val="none"/>
      </w:rPr>
    </w:lvl>
    <w:lvl w:ilvl="2">
      <w:start w:val="1"/>
      <w:numFmt w:val="lowerRoman"/>
      <w:lvlText w:val="%3."/>
      <w:lvlJc w:val="right"/>
      <w:pPr>
        <w:ind w:left="1440" w:hanging="480"/>
      </w:pPr>
      <w:rPr>
        <w:u w:val="none"/>
      </w:rPr>
    </w:lvl>
    <w:lvl w:ilvl="3">
      <w:start w:val="1"/>
      <w:numFmt w:val="decimal"/>
      <w:lvlText w:val="%4."/>
      <w:lvlJc w:val="left"/>
      <w:pPr>
        <w:ind w:left="1920" w:hanging="480"/>
      </w:pPr>
      <w:rPr>
        <w:u w:val="none"/>
      </w:rPr>
    </w:lvl>
    <w:lvl w:ilvl="4">
      <w:start w:val="1"/>
      <w:numFmt w:val="lowerLetter"/>
      <w:lvlText w:val="%5."/>
      <w:lvlJc w:val="left"/>
      <w:pPr>
        <w:ind w:left="2400" w:hanging="480"/>
      </w:pPr>
      <w:rPr>
        <w:u w:val="none"/>
      </w:rPr>
    </w:lvl>
    <w:lvl w:ilvl="5">
      <w:start w:val="1"/>
      <w:numFmt w:val="lowerRoman"/>
      <w:lvlText w:val="%6."/>
      <w:lvlJc w:val="right"/>
      <w:pPr>
        <w:ind w:left="2880" w:hanging="480"/>
      </w:pPr>
      <w:rPr>
        <w:u w:val="none"/>
      </w:rPr>
    </w:lvl>
    <w:lvl w:ilvl="6">
      <w:start w:val="1"/>
      <w:numFmt w:val="decimal"/>
      <w:lvlText w:val="%7."/>
      <w:lvlJc w:val="left"/>
      <w:pPr>
        <w:ind w:left="3360" w:hanging="480"/>
      </w:pPr>
      <w:rPr>
        <w:u w:val="none"/>
      </w:rPr>
    </w:lvl>
    <w:lvl w:ilvl="7">
      <w:start w:val="1"/>
      <w:numFmt w:val="lowerLetter"/>
      <w:lvlText w:val="%8."/>
      <w:lvlJc w:val="left"/>
      <w:pPr>
        <w:ind w:left="3840" w:hanging="480"/>
      </w:pPr>
      <w:rPr>
        <w:u w:val="none"/>
      </w:rPr>
    </w:lvl>
    <w:lvl w:ilvl="8">
      <w:start w:val="1"/>
      <w:numFmt w:val="lowerRoman"/>
      <w:lvlText w:val="%9."/>
      <w:lvlJc w:val="right"/>
      <w:pPr>
        <w:ind w:left="4320" w:hanging="480"/>
      </w:pPr>
      <w:rPr>
        <w:u w:val="none"/>
      </w:rPr>
    </w:lvl>
  </w:abstractNum>
  <w:abstractNum w:abstractNumId="6" w15:restartNumberingAfterBreak="0">
    <w:nsid w:val="0AC60459"/>
    <w:multiLevelType w:val="multilevel"/>
    <w:tmpl w:val="0B68F7CC"/>
    <w:lvl w:ilvl="0">
      <w:start w:val="3"/>
      <w:numFmt w:val="decimal"/>
      <w:lvlText w:val="%1.8"/>
      <w:lvlJc w:val="left"/>
      <w:pPr>
        <w:ind w:left="480" w:hanging="480"/>
      </w:pPr>
      <w:rPr>
        <w:sz w:val="24"/>
        <w:szCs w:val="24"/>
        <w:u w:val="none"/>
      </w:rPr>
    </w:lvl>
    <w:lvl w:ilvl="1">
      <w:start w:val="1"/>
      <w:numFmt w:val="lowerLetter"/>
      <w:lvlText w:val="%2."/>
      <w:lvlJc w:val="left"/>
      <w:pPr>
        <w:ind w:left="960" w:hanging="480"/>
      </w:pPr>
      <w:rPr>
        <w:u w:val="none"/>
      </w:rPr>
    </w:lvl>
    <w:lvl w:ilvl="2">
      <w:start w:val="1"/>
      <w:numFmt w:val="lowerRoman"/>
      <w:lvlText w:val="%3."/>
      <w:lvlJc w:val="right"/>
      <w:pPr>
        <w:ind w:left="1440" w:hanging="480"/>
      </w:pPr>
      <w:rPr>
        <w:u w:val="none"/>
      </w:rPr>
    </w:lvl>
    <w:lvl w:ilvl="3">
      <w:start w:val="1"/>
      <w:numFmt w:val="decimal"/>
      <w:lvlText w:val="%4."/>
      <w:lvlJc w:val="left"/>
      <w:pPr>
        <w:ind w:left="1920" w:hanging="480"/>
      </w:pPr>
      <w:rPr>
        <w:u w:val="none"/>
      </w:rPr>
    </w:lvl>
    <w:lvl w:ilvl="4">
      <w:start w:val="1"/>
      <w:numFmt w:val="lowerLetter"/>
      <w:lvlText w:val="%5."/>
      <w:lvlJc w:val="left"/>
      <w:pPr>
        <w:ind w:left="2400" w:hanging="480"/>
      </w:pPr>
      <w:rPr>
        <w:u w:val="none"/>
      </w:rPr>
    </w:lvl>
    <w:lvl w:ilvl="5">
      <w:start w:val="1"/>
      <w:numFmt w:val="lowerRoman"/>
      <w:lvlText w:val="%6."/>
      <w:lvlJc w:val="right"/>
      <w:pPr>
        <w:ind w:left="2880" w:hanging="480"/>
      </w:pPr>
      <w:rPr>
        <w:u w:val="none"/>
      </w:rPr>
    </w:lvl>
    <w:lvl w:ilvl="6">
      <w:start w:val="1"/>
      <w:numFmt w:val="decimal"/>
      <w:lvlText w:val="%7."/>
      <w:lvlJc w:val="left"/>
      <w:pPr>
        <w:ind w:left="3360" w:hanging="480"/>
      </w:pPr>
      <w:rPr>
        <w:u w:val="none"/>
      </w:rPr>
    </w:lvl>
    <w:lvl w:ilvl="7">
      <w:start w:val="1"/>
      <w:numFmt w:val="lowerLetter"/>
      <w:lvlText w:val="%8."/>
      <w:lvlJc w:val="left"/>
      <w:pPr>
        <w:ind w:left="3840" w:hanging="480"/>
      </w:pPr>
      <w:rPr>
        <w:u w:val="none"/>
      </w:rPr>
    </w:lvl>
    <w:lvl w:ilvl="8">
      <w:start w:val="1"/>
      <w:numFmt w:val="lowerRoman"/>
      <w:lvlText w:val="%9."/>
      <w:lvlJc w:val="right"/>
      <w:pPr>
        <w:ind w:left="4320" w:hanging="480"/>
      </w:pPr>
      <w:rPr>
        <w:u w:val="none"/>
      </w:rPr>
    </w:lvl>
  </w:abstractNum>
  <w:abstractNum w:abstractNumId="7" w15:restartNumberingAfterBreak="0">
    <w:nsid w:val="13456A23"/>
    <w:multiLevelType w:val="multilevel"/>
    <w:tmpl w:val="3C66A828"/>
    <w:lvl w:ilvl="0">
      <w:start w:val="1"/>
      <w:numFmt w:val="lowerLetter"/>
      <w:lvlText w:val="%1."/>
      <w:lvlJc w:val="left"/>
      <w:pPr>
        <w:ind w:left="992"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8" w15:restartNumberingAfterBreak="0">
    <w:nsid w:val="147161F5"/>
    <w:multiLevelType w:val="multilevel"/>
    <w:tmpl w:val="612AE458"/>
    <w:lvl w:ilvl="0">
      <w:start w:val="3"/>
      <w:numFmt w:val="decimal"/>
      <w:lvlText w:val="%1.1"/>
      <w:lvlJc w:val="left"/>
      <w:pPr>
        <w:ind w:left="480" w:hanging="480"/>
      </w:pPr>
      <w:rPr>
        <w:u w:val="none"/>
      </w:rPr>
    </w:lvl>
    <w:lvl w:ilvl="1">
      <w:start w:val="1"/>
      <w:numFmt w:val="lowerLetter"/>
      <w:lvlText w:val="%2."/>
      <w:lvlJc w:val="left"/>
      <w:pPr>
        <w:ind w:left="960" w:hanging="480"/>
      </w:pPr>
      <w:rPr>
        <w:u w:val="none"/>
      </w:rPr>
    </w:lvl>
    <w:lvl w:ilvl="2">
      <w:start w:val="1"/>
      <w:numFmt w:val="lowerRoman"/>
      <w:lvlText w:val="%3."/>
      <w:lvlJc w:val="right"/>
      <w:pPr>
        <w:ind w:left="1440" w:hanging="480"/>
      </w:pPr>
      <w:rPr>
        <w:u w:val="none"/>
      </w:rPr>
    </w:lvl>
    <w:lvl w:ilvl="3">
      <w:start w:val="1"/>
      <w:numFmt w:val="decimal"/>
      <w:lvlText w:val="%4."/>
      <w:lvlJc w:val="left"/>
      <w:pPr>
        <w:ind w:left="1920" w:hanging="480"/>
      </w:pPr>
      <w:rPr>
        <w:u w:val="none"/>
      </w:rPr>
    </w:lvl>
    <w:lvl w:ilvl="4">
      <w:start w:val="1"/>
      <w:numFmt w:val="lowerLetter"/>
      <w:lvlText w:val="%5."/>
      <w:lvlJc w:val="left"/>
      <w:pPr>
        <w:ind w:left="2400" w:hanging="480"/>
      </w:pPr>
      <w:rPr>
        <w:u w:val="none"/>
      </w:rPr>
    </w:lvl>
    <w:lvl w:ilvl="5">
      <w:start w:val="1"/>
      <w:numFmt w:val="lowerRoman"/>
      <w:lvlText w:val="%6."/>
      <w:lvlJc w:val="right"/>
      <w:pPr>
        <w:ind w:left="2880" w:hanging="480"/>
      </w:pPr>
      <w:rPr>
        <w:u w:val="none"/>
      </w:rPr>
    </w:lvl>
    <w:lvl w:ilvl="6">
      <w:start w:val="1"/>
      <w:numFmt w:val="decimal"/>
      <w:lvlText w:val="%7."/>
      <w:lvlJc w:val="left"/>
      <w:pPr>
        <w:ind w:left="3360" w:hanging="480"/>
      </w:pPr>
      <w:rPr>
        <w:u w:val="none"/>
      </w:rPr>
    </w:lvl>
    <w:lvl w:ilvl="7">
      <w:start w:val="1"/>
      <w:numFmt w:val="lowerLetter"/>
      <w:lvlText w:val="%8."/>
      <w:lvlJc w:val="left"/>
      <w:pPr>
        <w:ind w:left="3840" w:hanging="480"/>
      </w:pPr>
      <w:rPr>
        <w:u w:val="none"/>
      </w:rPr>
    </w:lvl>
    <w:lvl w:ilvl="8">
      <w:start w:val="1"/>
      <w:numFmt w:val="lowerRoman"/>
      <w:lvlText w:val="%9."/>
      <w:lvlJc w:val="right"/>
      <w:pPr>
        <w:ind w:left="4320" w:hanging="480"/>
      </w:pPr>
      <w:rPr>
        <w:u w:val="none"/>
      </w:rPr>
    </w:lvl>
  </w:abstractNum>
  <w:abstractNum w:abstractNumId="9" w15:restartNumberingAfterBreak="0">
    <w:nsid w:val="1AC2440E"/>
    <w:multiLevelType w:val="multilevel"/>
    <w:tmpl w:val="037E3C9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0" w15:restartNumberingAfterBreak="0">
    <w:nsid w:val="1E9D208A"/>
    <w:multiLevelType w:val="multilevel"/>
    <w:tmpl w:val="EAE4C8FE"/>
    <w:lvl w:ilvl="0">
      <w:start w:val="3"/>
      <w:numFmt w:val="decimal"/>
      <w:lvlText w:val="%1.2"/>
      <w:lvlJc w:val="left"/>
      <w:pPr>
        <w:ind w:left="480" w:hanging="480"/>
      </w:pPr>
      <w:rPr>
        <w:u w:val="none"/>
      </w:rPr>
    </w:lvl>
    <w:lvl w:ilvl="1">
      <w:start w:val="1"/>
      <w:numFmt w:val="lowerLetter"/>
      <w:lvlText w:val="%2."/>
      <w:lvlJc w:val="left"/>
      <w:pPr>
        <w:ind w:left="960" w:hanging="480"/>
      </w:pPr>
      <w:rPr>
        <w:u w:val="none"/>
      </w:rPr>
    </w:lvl>
    <w:lvl w:ilvl="2">
      <w:start w:val="1"/>
      <w:numFmt w:val="lowerRoman"/>
      <w:lvlText w:val="%3."/>
      <w:lvlJc w:val="right"/>
      <w:pPr>
        <w:ind w:left="1440" w:hanging="480"/>
      </w:pPr>
      <w:rPr>
        <w:u w:val="none"/>
      </w:rPr>
    </w:lvl>
    <w:lvl w:ilvl="3">
      <w:start w:val="1"/>
      <w:numFmt w:val="decimal"/>
      <w:lvlText w:val="%4."/>
      <w:lvlJc w:val="left"/>
      <w:pPr>
        <w:ind w:left="1920" w:hanging="480"/>
      </w:pPr>
      <w:rPr>
        <w:u w:val="none"/>
      </w:rPr>
    </w:lvl>
    <w:lvl w:ilvl="4">
      <w:start w:val="1"/>
      <w:numFmt w:val="lowerLetter"/>
      <w:lvlText w:val="%5."/>
      <w:lvlJc w:val="left"/>
      <w:pPr>
        <w:ind w:left="2400" w:hanging="480"/>
      </w:pPr>
      <w:rPr>
        <w:u w:val="none"/>
      </w:rPr>
    </w:lvl>
    <w:lvl w:ilvl="5">
      <w:start w:val="1"/>
      <w:numFmt w:val="lowerRoman"/>
      <w:lvlText w:val="%6."/>
      <w:lvlJc w:val="right"/>
      <w:pPr>
        <w:ind w:left="2880" w:hanging="480"/>
      </w:pPr>
      <w:rPr>
        <w:u w:val="none"/>
      </w:rPr>
    </w:lvl>
    <w:lvl w:ilvl="6">
      <w:start w:val="1"/>
      <w:numFmt w:val="decimal"/>
      <w:lvlText w:val="%7."/>
      <w:lvlJc w:val="left"/>
      <w:pPr>
        <w:ind w:left="3360" w:hanging="480"/>
      </w:pPr>
      <w:rPr>
        <w:u w:val="none"/>
      </w:rPr>
    </w:lvl>
    <w:lvl w:ilvl="7">
      <w:start w:val="1"/>
      <w:numFmt w:val="lowerLetter"/>
      <w:lvlText w:val="%8."/>
      <w:lvlJc w:val="left"/>
      <w:pPr>
        <w:ind w:left="3840" w:hanging="480"/>
      </w:pPr>
      <w:rPr>
        <w:u w:val="none"/>
      </w:rPr>
    </w:lvl>
    <w:lvl w:ilvl="8">
      <w:start w:val="1"/>
      <w:numFmt w:val="lowerRoman"/>
      <w:lvlText w:val="%9."/>
      <w:lvlJc w:val="right"/>
      <w:pPr>
        <w:ind w:left="4320" w:hanging="480"/>
      </w:pPr>
      <w:rPr>
        <w:u w:val="none"/>
      </w:rPr>
    </w:lvl>
  </w:abstractNum>
  <w:abstractNum w:abstractNumId="11" w15:restartNumberingAfterBreak="0">
    <w:nsid w:val="1F3A23CB"/>
    <w:multiLevelType w:val="multilevel"/>
    <w:tmpl w:val="B95A64F0"/>
    <w:lvl w:ilvl="0">
      <w:start w:val="3"/>
      <w:numFmt w:val="decimal"/>
      <w:lvlText w:val="%1.6"/>
      <w:lvlJc w:val="left"/>
      <w:pPr>
        <w:ind w:left="480" w:hanging="480"/>
      </w:pPr>
      <w:rPr>
        <w:u w:val="none"/>
      </w:rPr>
    </w:lvl>
    <w:lvl w:ilvl="1">
      <w:start w:val="1"/>
      <w:numFmt w:val="lowerLetter"/>
      <w:lvlText w:val="%2."/>
      <w:lvlJc w:val="left"/>
      <w:pPr>
        <w:ind w:left="960" w:hanging="480"/>
      </w:pPr>
      <w:rPr>
        <w:u w:val="none"/>
      </w:rPr>
    </w:lvl>
    <w:lvl w:ilvl="2">
      <w:start w:val="1"/>
      <w:numFmt w:val="lowerRoman"/>
      <w:lvlText w:val="%3."/>
      <w:lvlJc w:val="right"/>
      <w:pPr>
        <w:ind w:left="1440" w:hanging="480"/>
      </w:pPr>
      <w:rPr>
        <w:u w:val="none"/>
      </w:rPr>
    </w:lvl>
    <w:lvl w:ilvl="3">
      <w:start w:val="1"/>
      <w:numFmt w:val="decimal"/>
      <w:lvlText w:val="%4."/>
      <w:lvlJc w:val="left"/>
      <w:pPr>
        <w:ind w:left="1920" w:hanging="480"/>
      </w:pPr>
      <w:rPr>
        <w:u w:val="none"/>
      </w:rPr>
    </w:lvl>
    <w:lvl w:ilvl="4">
      <w:start w:val="1"/>
      <w:numFmt w:val="lowerLetter"/>
      <w:lvlText w:val="%5."/>
      <w:lvlJc w:val="left"/>
      <w:pPr>
        <w:ind w:left="2400" w:hanging="480"/>
      </w:pPr>
      <w:rPr>
        <w:u w:val="none"/>
      </w:rPr>
    </w:lvl>
    <w:lvl w:ilvl="5">
      <w:start w:val="1"/>
      <w:numFmt w:val="lowerRoman"/>
      <w:lvlText w:val="%6."/>
      <w:lvlJc w:val="right"/>
      <w:pPr>
        <w:ind w:left="2880" w:hanging="480"/>
      </w:pPr>
      <w:rPr>
        <w:u w:val="none"/>
      </w:rPr>
    </w:lvl>
    <w:lvl w:ilvl="6">
      <w:start w:val="1"/>
      <w:numFmt w:val="decimal"/>
      <w:lvlText w:val="%7."/>
      <w:lvlJc w:val="left"/>
      <w:pPr>
        <w:ind w:left="3360" w:hanging="480"/>
      </w:pPr>
      <w:rPr>
        <w:u w:val="none"/>
      </w:rPr>
    </w:lvl>
    <w:lvl w:ilvl="7">
      <w:start w:val="1"/>
      <w:numFmt w:val="lowerLetter"/>
      <w:lvlText w:val="%8."/>
      <w:lvlJc w:val="left"/>
      <w:pPr>
        <w:ind w:left="3840" w:hanging="480"/>
      </w:pPr>
      <w:rPr>
        <w:u w:val="none"/>
      </w:rPr>
    </w:lvl>
    <w:lvl w:ilvl="8">
      <w:start w:val="1"/>
      <w:numFmt w:val="lowerRoman"/>
      <w:lvlText w:val="%9."/>
      <w:lvlJc w:val="right"/>
      <w:pPr>
        <w:ind w:left="4320" w:hanging="480"/>
      </w:pPr>
      <w:rPr>
        <w:u w:val="none"/>
      </w:rPr>
    </w:lvl>
  </w:abstractNum>
  <w:abstractNum w:abstractNumId="12" w15:restartNumberingAfterBreak="0">
    <w:nsid w:val="202D1FE0"/>
    <w:multiLevelType w:val="multilevel"/>
    <w:tmpl w:val="F43AE776"/>
    <w:lvl w:ilvl="0">
      <w:start w:val="1"/>
      <w:numFmt w:val="decimal"/>
      <w:lvlText w:val="9.%1"/>
      <w:lvlJc w:val="left"/>
      <w:pPr>
        <w:ind w:left="480" w:hanging="480"/>
      </w:pPr>
      <w:rPr>
        <w:u w:val="none"/>
      </w:rPr>
    </w:lvl>
    <w:lvl w:ilvl="1">
      <w:start w:val="1"/>
      <w:numFmt w:val="lowerLetter"/>
      <w:lvlText w:val="%2."/>
      <w:lvlJc w:val="left"/>
      <w:pPr>
        <w:ind w:left="1133" w:hanging="479"/>
      </w:pPr>
      <w:rPr>
        <w:u w:val="none"/>
      </w:rPr>
    </w:lvl>
    <w:lvl w:ilvl="2">
      <w:start w:val="1"/>
      <w:numFmt w:val="lowerRoman"/>
      <w:lvlText w:val="%3."/>
      <w:lvlJc w:val="right"/>
      <w:pPr>
        <w:ind w:left="1440" w:hanging="480"/>
      </w:pPr>
      <w:rPr>
        <w:u w:val="none"/>
      </w:rPr>
    </w:lvl>
    <w:lvl w:ilvl="3">
      <w:start w:val="1"/>
      <w:numFmt w:val="decimal"/>
      <w:lvlText w:val="%4."/>
      <w:lvlJc w:val="left"/>
      <w:pPr>
        <w:ind w:left="1920" w:hanging="480"/>
      </w:pPr>
      <w:rPr>
        <w:u w:val="none"/>
      </w:rPr>
    </w:lvl>
    <w:lvl w:ilvl="4">
      <w:start w:val="1"/>
      <w:numFmt w:val="decimal"/>
      <w:lvlText w:val="%5、"/>
      <w:lvlJc w:val="left"/>
      <w:pPr>
        <w:ind w:left="2400" w:hanging="480"/>
      </w:pPr>
      <w:rPr>
        <w:u w:val="none"/>
      </w:rPr>
    </w:lvl>
    <w:lvl w:ilvl="5">
      <w:start w:val="1"/>
      <w:numFmt w:val="lowerRoman"/>
      <w:lvlText w:val="%6."/>
      <w:lvlJc w:val="right"/>
      <w:pPr>
        <w:ind w:left="2880" w:hanging="480"/>
      </w:pPr>
      <w:rPr>
        <w:u w:val="none"/>
      </w:rPr>
    </w:lvl>
    <w:lvl w:ilvl="6">
      <w:start w:val="1"/>
      <w:numFmt w:val="decimal"/>
      <w:lvlText w:val="%7."/>
      <w:lvlJc w:val="left"/>
      <w:pPr>
        <w:ind w:left="3360" w:hanging="480"/>
      </w:pPr>
      <w:rPr>
        <w:u w:val="none"/>
      </w:rPr>
    </w:lvl>
    <w:lvl w:ilvl="7">
      <w:start w:val="1"/>
      <w:numFmt w:val="decimal"/>
      <w:lvlText w:val="%8、"/>
      <w:lvlJc w:val="left"/>
      <w:pPr>
        <w:ind w:left="3840" w:hanging="480"/>
      </w:pPr>
      <w:rPr>
        <w:u w:val="none"/>
      </w:rPr>
    </w:lvl>
    <w:lvl w:ilvl="8">
      <w:start w:val="1"/>
      <w:numFmt w:val="lowerRoman"/>
      <w:lvlText w:val="%9."/>
      <w:lvlJc w:val="right"/>
      <w:pPr>
        <w:ind w:left="4320" w:hanging="480"/>
      </w:pPr>
      <w:rPr>
        <w:u w:val="none"/>
      </w:rPr>
    </w:lvl>
  </w:abstractNum>
  <w:abstractNum w:abstractNumId="13" w15:restartNumberingAfterBreak="0">
    <w:nsid w:val="3DFD5C2C"/>
    <w:multiLevelType w:val="multilevel"/>
    <w:tmpl w:val="977AA274"/>
    <w:lvl w:ilvl="0">
      <w:start w:val="3"/>
      <w:numFmt w:val="decimal"/>
      <w:lvlText w:val="%1.5"/>
      <w:lvlJc w:val="left"/>
      <w:pPr>
        <w:ind w:left="480" w:hanging="480"/>
      </w:pPr>
      <w:rPr>
        <w:u w:val="none"/>
      </w:rPr>
    </w:lvl>
    <w:lvl w:ilvl="1">
      <w:start w:val="1"/>
      <w:numFmt w:val="lowerLetter"/>
      <w:lvlText w:val="%2."/>
      <w:lvlJc w:val="left"/>
      <w:pPr>
        <w:ind w:left="960" w:hanging="480"/>
      </w:pPr>
      <w:rPr>
        <w:u w:val="none"/>
      </w:rPr>
    </w:lvl>
    <w:lvl w:ilvl="2">
      <w:start w:val="1"/>
      <w:numFmt w:val="lowerRoman"/>
      <w:lvlText w:val="%3."/>
      <w:lvlJc w:val="right"/>
      <w:pPr>
        <w:ind w:left="1440" w:hanging="480"/>
      </w:pPr>
      <w:rPr>
        <w:u w:val="none"/>
      </w:rPr>
    </w:lvl>
    <w:lvl w:ilvl="3">
      <w:start w:val="1"/>
      <w:numFmt w:val="decimal"/>
      <w:lvlText w:val="%4."/>
      <w:lvlJc w:val="left"/>
      <w:pPr>
        <w:ind w:left="1920" w:hanging="480"/>
      </w:pPr>
      <w:rPr>
        <w:u w:val="none"/>
      </w:rPr>
    </w:lvl>
    <w:lvl w:ilvl="4">
      <w:start w:val="1"/>
      <w:numFmt w:val="lowerLetter"/>
      <w:lvlText w:val="%5."/>
      <w:lvlJc w:val="left"/>
      <w:pPr>
        <w:ind w:left="2400" w:hanging="480"/>
      </w:pPr>
      <w:rPr>
        <w:u w:val="none"/>
      </w:rPr>
    </w:lvl>
    <w:lvl w:ilvl="5">
      <w:start w:val="1"/>
      <w:numFmt w:val="lowerRoman"/>
      <w:lvlText w:val="%6."/>
      <w:lvlJc w:val="right"/>
      <w:pPr>
        <w:ind w:left="2880" w:hanging="480"/>
      </w:pPr>
      <w:rPr>
        <w:u w:val="none"/>
      </w:rPr>
    </w:lvl>
    <w:lvl w:ilvl="6">
      <w:start w:val="1"/>
      <w:numFmt w:val="decimal"/>
      <w:lvlText w:val="%7."/>
      <w:lvlJc w:val="left"/>
      <w:pPr>
        <w:ind w:left="3360" w:hanging="480"/>
      </w:pPr>
      <w:rPr>
        <w:u w:val="none"/>
      </w:rPr>
    </w:lvl>
    <w:lvl w:ilvl="7">
      <w:start w:val="1"/>
      <w:numFmt w:val="lowerLetter"/>
      <w:lvlText w:val="%8."/>
      <w:lvlJc w:val="left"/>
      <w:pPr>
        <w:ind w:left="3840" w:hanging="480"/>
      </w:pPr>
      <w:rPr>
        <w:u w:val="none"/>
      </w:rPr>
    </w:lvl>
    <w:lvl w:ilvl="8">
      <w:start w:val="1"/>
      <w:numFmt w:val="lowerRoman"/>
      <w:lvlText w:val="%9."/>
      <w:lvlJc w:val="right"/>
      <w:pPr>
        <w:ind w:left="4320" w:hanging="480"/>
      </w:pPr>
      <w:rPr>
        <w:u w:val="none"/>
      </w:rPr>
    </w:lvl>
  </w:abstractNum>
  <w:abstractNum w:abstractNumId="14" w15:restartNumberingAfterBreak="0">
    <w:nsid w:val="471B0CA9"/>
    <w:multiLevelType w:val="multilevel"/>
    <w:tmpl w:val="BE2657D6"/>
    <w:lvl w:ilvl="0">
      <w:start w:val="10"/>
      <w:numFmt w:val="decimal"/>
      <w:lvlText w:val="%1.2"/>
      <w:lvlJc w:val="left"/>
      <w:pPr>
        <w:ind w:left="720" w:hanging="72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488025BB"/>
    <w:multiLevelType w:val="multilevel"/>
    <w:tmpl w:val="4836C858"/>
    <w:lvl w:ilvl="0">
      <w:start w:val="1"/>
      <w:numFmt w:val="bullet"/>
      <w:lvlText w:val="•"/>
      <w:lvlJc w:val="left"/>
      <w:pPr>
        <w:ind w:left="720" w:hanging="360"/>
      </w:pPr>
      <w:rPr>
        <w:rFonts w:ascii="Noto Sans Symbols" w:eastAsia="Noto Sans Symbols" w:hAnsi="Noto Sans Symbols" w:cs="Noto Sans Symbols"/>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48FC3A50"/>
    <w:multiLevelType w:val="multilevel"/>
    <w:tmpl w:val="ADD678AE"/>
    <w:lvl w:ilvl="0">
      <w:start w:val="3"/>
      <w:numFmt w:val="decimal"/>
      <w:lvlText w:val="%1.3"/>
      <w:lvlJc w:val="left"/>
      <w:pPr>
        <w:ind w:left="480" w:hanging="480"/>
      </w:pPr>
      <w:rPr>
        <w:u w:val="none"/>
      </w:rPr>
    </w:lvl>
    <w:lvl w:ilvl="1">
      <w:start w:val="1"/>
      <w:numFmt w:val="lowerLetter"/>
      <w:lvlText w:val="%2."/>
      <w:lvlJc w:val="left"/>
      <w:pPr>
        <w:ind w:left="960" w:hanging="480"/>
      </w:pPr>
      <w:rPr>
        <w:u w:val="none"/>
      </w:rPr>
    </w:lvl>
    <w:lvl w:ilvl="2">
      <w:start w:val="1"/>
      <w:numFmt w:val="lowerRoman"/>
      <w:lvlText w:val="%3."/>
      <w:lvlJc w:val="right"/>
      <w:pPr>
        <w:ind w:left="1440" w:hanging="480"/>
      </w:pPr>
      <w:rPr>
        <w:u w:val="none"/>
      </w:rPr>
    </w:lvl>
    <w:lvl w:ilvl="3">
      <w:start w:val="1"/>
      <w:numFmt w:val="decimal"/>
      <w:lvlText w:val="%4."/>
      <w:lvlJc w:val="left"/>
      <w:pPr>
        <w:ind w:left="1920" w:hanging="480"/>
      </w:pPr>
      <w:rPr>
        <w:u w:val="none"/>
      </w:rPr>
    </w:lvl>
    <w:lvl w:ilvl="4">
      <w:start w:val="1"/>
      <w:numFmt w:val="lowerLetter"/>
      <w:lvlText w:val="%5."/>
      <w:lvlJc w:val="left"/>
      <w:pPr>
        <w:ind w:left="2400" w:hanging="480"/>
      </w:pPr>
      <w:rPr>
        <w:u w:val="none"/>
      </w:rPr>
    </w:lvl>
    <w:lvl w:ilvl="5">
      <w:start w:val="1"/>
      <w:numFmt w:val="lowerRoman"/>
      <w:lvlText w:val="%6."/>
      <w:lvlJc w:val="right"/>
      <w:pPr>
        <w:ind w:left="2880" w:hanging="480"/>
      </w:pPr>
      <w:rPr>
        <w:u w:val="none"/>
      </w:rPr>
    </w:lvl>
    <w:lvl w:ilvl="6">
      <w:start w:val="1"/>
      <w:numFmt w:val="decimal"/>
      <w:lvlText w:val="%7."/>
      <w:lvlJc w:val="left"/>
      <w:pPr>
        <w:ind w:left="3360" w:hanging="480"/>
      </w:pPr>
      <w:rPr>
        <w:u w:val="none"/>
      </w:rPr>
    </w:lvl>
    <w:lvl w:ilvl="7">
      <w:start w:val="1"/>
      <w:numFmt w:val="lowerLetter"/>
      <w:lvlText w:val="%8."/>
      <w:lvlJc w:val="left"/>
      <w:pPr>
        <w:ind w:left="3840" w:hanging="480"/>
      </w:pPr>
      <w:rPr>
        <w:u w:val="none"/>
      </w:rPr>
    </w:lvl>
    <w:lvl w:ilvl="8">
      <w:start w:val="1"/>
      <w:numFmt w:val="lowerRoman"/>
      <w:lvlText w:val="%9."/>
      <w:lvlJc w:val="right"/>
      <w:pPr>
        <w:ind w:left="4320" w:hanging="480"/>
      </w:pPr>
      <w:rPr>
        <w:u w:val="none"/>
      </w:rPr>
    </w:lvl>
  </w:abstractNum>
  <w:abstractNum w:abstractNumId="17" w15:restartNumberingAfterBreak="0">
    <w:nsid w:val="557532F4"/>
    <w:multiLevelType w:val="multilevel"/>
    <w:tmpl w:val="F5DA7724"/>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8" w15:restartNumberingAfterBreak="0">
    <w:nsid w:val="55B6781E"/>
    <w:multiLevelType w:val="multilevel"/>
    <w:tmpl w:val="D56AE03E"/>
    <w:lvl w:ilvl="0">
      <w:start w:val="1"/>
      <w:numFmt w:val="decimal"/>
      <w:lvlText w:val="8.%1"/>
      <w:lvlJc w:val="left"/>
      <w:pPr>
        <w:ind w:left="425" w:hanging="425"/>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5AA53638"/>
    <w:multiLevelType w:val="multilevel"/>
    <w:tmpl w:val="6B3088F2"/>
    <w:lvl w:ilvl="0">
      <w:start w:val="1"/>
      <w:numFmt w:val="decimal"/>
      <w:lvlText w:val="4.%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5D0F59D7"/>
    <w:multiLevelType w:val="multilevel"/>
    <w:tmpl w:val="944A4B80"/>
    <w:lvl w:ilvl="0">
      <w:start w:val="1"/>
      <w:numFmt w:val="lowerLetter"/>
      <w:lvlText w:val="%1."/>
      <w:lvlJc w:val="left"/>
      <w:pPr>
        <w:ind w:left="855" w:hanging="360"/>
      </w:pPr>
      <w:rPr>
        <w:u w:val="none"/>
      </w:rPr>
    </w:lvl>
    <w:lvl w:ilvl="1">
      <w:start w:val="1"/>
      <w:numFmt w:val="lowerRoman"/>
      <w:lvlText w:val="%2."/>
      <w:lvlJc w:val="right"/>
      <w:pPr>
        <w:ind w:left="1346" w:hanging="21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1" w15:restartNumberingAfterBreak="0">
    <w:nsid w:val="5DB23C22"/>
    <w:multiLevelType w:val="multilevel"/>
    <w:tmpl w:val="3C7010DC"/>
    <w:lvl w:ilvl="0">
      <w:start w:val="3"/>
      <w:numFmt w:val="decimal"/>
      <w:lvlText w:val="%1.4"/>
      <w:lvlJc w:val="left"/>
      <w:pPr>
        <w:ind w:left="480" w:hanging="480"/>
      </w:pPr>
      <w:rPr>
        <w:u w:val="none"/>
      </w:rPr>
    </w:lvl>
    <w:lvl w:ilvl="1">
      <w:start w:val="1"/>
      <w:numFmt w:val="lowerLetter"/>
      <w:lvlText w:val="%2."/>
      <w:lvlJc w:val="left"/>
      <w:pPr>
        <w:ind w:left="960" w:hanging="480"/>
      </w:pPr>
      <w:rPr>
        <w:u w:val="none"/>
      </w:rPr>
    </w:lvl>
    <w:lvl w:ilvl="2">
      <w:start w:val="1"/>
      <w:numFmt w:val="lowerRoman"/>
      <w:lvlText w:val="%3."/>
      <w:lvlJc w:val="right"/>
      <w:pPr>
        <w:ind w:left="1440" w:hanging="480"/>
      </w:pPr>
      <w:rPr>
        <w:u w:val="none"/>
      </w:rPr>
    </w:lvl>
    <w:lvl w:ilvl="3">
      <w:start w:val="1"/>
      <w:numFmt w:val="decimal"/>
      <w:lvlText w:val="%4."/>
      <w:lvlJc w:val="left"/>
      <w:pPr>
        <w:ind w:left="1920" w:hanging="480"/>
      </w:pPr>
      <w:rPr>
        <w:u w:val="none"/>
      </w:rPr>
    </w:lvl>
    <w:lvl w:ilvl="4">
      <w:start w:val="1"/>
      <w:numFmt w:val="lowerLetter"/>
      <w:lvlText w:val="%5."/>
      <w:lvlJc w:val="left"/>
      <w:pPr>
        <w:ind w:left="2400" w:hanging="480"/>
      </w:pPr>
      <w:rPr>
        <w:u w:val="none"/>
      </w:rPr>
    </w:lvl>
    <w:lvl w:ilvl="5">
      <w:start w:val="1"/>
      <w:numFmt w:val="lowerRoman"/>
      <w:lvlText w:val="%6."/>
      <w:lvlJc w:val="right"/>
      <w:pPr>
        <w:ind w:left="2880" w:hanging="480"/>
      </w:pPr>
      <w:rPr>
        <w:u w:val="none"/>
      </w:rPr>
    </w:lvl>
    <w:lvl w:ilvl="6">
      <w:start w:val="1"/>
      <w:numFmt w:val="decimal"/>
      <w:lvlText w:val="%7."/>
      <w:lvlJc w:val="left"/>
      <w:pPr>
        <w:ind w:left="3360" w:hanging="480"/>
      </w:pPr>
      <w:rPr>
        <w:u w:val="none"/>
      </w:rPr>
    </w:lvl>
    <w:lvl w:ilvl="7">
      <w:start w:val="1"/>
      <w:numFmt w:val="lowerLetter"/>
      <w:lvlText w:val="%8."/>
      <w:lvlJc w:val="left"/>
      <w:pPr>
        <w:ind w:left="3840" w:hanging="480"/>
      </w:pPr>
      <w:rPr>
        <w:u w:val="none"/>
      </w:rPr>
    </w:lvl>
    <w:lvl w:ilvl="8">
      <w:start w:val="1"/>
      <w:numFmt w:val="lowerRoman"/>
      <w:lvlText w:val="%9."/>
      <w:lvlJc w:val="right"/>
      <w:pPr>
        <w:ind w:left="4320" w:hanging="480"/>
      </w:pPr>
      <w:rPr>
        <w:u w:val="none"/>
      </w:rPr>
    </w:lvl>
  </w:abstractNum>
  <w:abstractNum w:abstractNumId="22" w15:restartNumberingAfterBreak="0">
    <w:nsid w:val="60A43624"/>
    <w:multiLevelType w:val="multilevel"/>
    <w:tmpl w:val="9718EA6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3" w15:restartNumberingAfterBreak="0">
    <w:nsid w:val="64F85441"/>
    <w:multiLevelType w:val="multilevel"/>
    <w:tmpl w:val="FB14BA7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69925396"/>
    <w:multiLevelType w:val="multilevel"/>
    <w:tmpl w:val="AE3CAB2A"/>
    <w:lvl w:ilvl="0">
      <w:start w:val="1"/>
      <w:numFmt w:val="decimal"/>
      <w:lvlText w:val="5.%1"/>
      <w:lvlJc w:val="left"/>
      <w:pPr>
        <w:ind w:left="480" w:hanging="480"/>
      </w:pPr>
      <w:rPr>
        <w:u w:val="none"/>
      </w:rPr>
    </w:lvl>
    <w:lvl w:ilvl="1">
      <w:start w:val="1"/>
      <w:numFmt w:val="lowerLetter"/>
      <w:lvlText w:val="%2."/>
      <w:lvlJc w:val="left"/>
      <w:pPr>
        <w:ind w:left="960" w:hanging="480"/>
      </w:pPr>
      <w:rPr>
        <w:u w:val="none"/>
      </w:rPr>
    </w:lvl>
    <w:lvl w:ilvl="2">
      <w:start w:val="1"/>
      <w:numFmt w:val="lowerRoman"/>
      <w:lvlText w:val="%3."/>
      <w:lvlJc w:val="right"/>
      <w:pPr>
        <w:ind w:left="1440" w:hanging="480"/>
      </w:pPr>
      <w:rPr>
        <w:u w:val="none"/>
      </w:rPr>
    </w:lvl>
    <w:lvl w:ilvl="3">
      <w:start w:val="1"/>
      <w:numFmt w:val="decimal"/>
      <w:lvlText w:val="%4."/>
      <w:lvlJc w:val="left"/>
      <w:pPr>
        <w:ind w:left="1920" w:hanging="480"/>
      </w:pPr>
      <w:rPr>
        <w:u w:val="none"/>
      </w:rPr>
    </w:lvl>
    <w:lvl w:ilvl="4">
      <w:start w:val="1"/>
      <w:numFmt w:val="decimal"/>
      <w:lvlText w:val="%5、"/>
      <w:lvlJc w:val="left"/>
      <w:pPr>
        <w:ind w:left="2400" w:hanging="480"/>
      </w:pPr>
      <w:rPr>
        <w:u w:val="none"/>
      </w:rPr>
    </w:lvl>
    <w:lvl w:ilvl="5">
      <w:start w:val="1"/>
      <w:numFmt w:val="lowerRoman"/>
      <w:lvlText w:val="%6."/>
      <w:lvlJc w:val="right"/>
      <w:pPr>
        <w:ind w:left="2880" w:hanging="480"/>
      </w:pPr>
      <w:rPr>
        <w:u w:val="none"/>
      </w:rPr>
    </w:lvl>
    <w:lvl w:ilvl="6">
      <w:start w:val="1"/>
      <w:numFmt w:val="decimal"/>
      <w:lvlText w:val="%7."/>
      <w:lvlJc w:val="left"/>
      <w:pPr>
        <w:ind w:left="3360" w:hanging="480"/>
      </w:pPr>
      <w:rPr>
        <w:u w:val="none"/>
      </w:rPr>
    </w:lvl>
    <w:lvl w:ilvl="7">
      <w:start w:val="1"/>
      <w:numFmt w:val="decimal"/>
      <w:lvlText w:val="%8、"/>
      <w:lvlJc w:val="left"/>
      <w:pPr>
        <w:ind w:left="3840" w:hanging="480"/>
      </w:pPr>
      <w:rPr>
        <w:u w:val="none"/>
      </w:rPr>
    </w:lvl>
    <w:lvl w:ilvl="8">
      <w:start w:val="1"/>
      <w:numFmt w:val="lowerRoman"/>
      <w:lvlText w:val="%9."/>
      <w:lvlJc w:val="right"/>
      <w:pPr>
        <w:ind w:left="4320" w:hanging="480"/>
      </w:pPr>
      <w:rPr>
        <w:u w:val="none"/>
      </w:rPr>
    </w:lvl>
  </w:abstractNum>
  <w:abstractNum w:abstractNumId="25" w15:restartNumberingAfterBreak="0">
    <w:nsid w:val="6D9542BE"/>
    <w:multiLevelType w:val="multilevel"/>
    <w:tmpl w:val="4CC47FC6"/>
    <w:lvl w:ilvl="0">
      <w:start w:val="1"/>
      <w:numFmt w:val="decimal"/>
      <w:lvlText w:val="1.%1"/>
      <w:lvlJc w:val="left"/>
      <w:pPr>
        <w:ind w:left="480" w:hanging="480"/>
      </w:pPr>
      <w:rPr>
        <w:u w:val="none"/>
      </w:rPr>
    </w:lvl>
    <w:lvl w:ilvl="1">
      <w:start w:val="1"/>
      <w:numFmt w:val="lowerLetter"/>
      <w:lvlText w:val="%2."/>
      <w:lvlJc w:val="left"/>
      <w:pPr>
        <w:ind w:left="960" w:hanging="480"/>
      </w:pPr>
      <w:rPr>
        <w:u w:val="none"/>
      </w:rPr>
    </w:lvl>
    <w:lvl w:ilvl="2">
      <w:start w:val="1"/>
      <w:numFmt w:val="lowerRoman"/>
      <w:lvlText w:val="%3."/>
      <w:lvlJc w:val="right"/>
      <w:pPr>
        <w:ind w:left="1440" w:hanging="480"/>
      </w:pPr>
      <w:rPr>
        <w:u w:val="none"/>
      </w:rPr>
    </w:lvl>
    <w:lvl w:ilvl="3">
      <w:start w:val="1"/>
      <w:numFmt w:val="decimal"/>
      <w:lvlText w:val="%4."/>
      <w:lvlJc w:val="left"/>
      <w:pPr>
        <w:ind w:left="1920" w:hanging="480"/>
      </w:pPr>
      <w:rPr>
        <w:u w:val="none"/>
      </w:rPr>
    </w:lvl>
    <w:lvl w:ilvl="4">
      <w:start w:val="1"/>
      <w:numFmt w:val="decimal"/>
      <w:lvlText w:val="%5、"/>
      <w:lvlJc w:val="left"/>
      <w:pPr>
        <w:ind w:left="2400" w:hanging="480"/>
      </w:pPr>
      <w:rPr>
        <w:u w:val="none"/>
      </w:rPr>
    </w:lvl>
    <w:lvl w:ilvl="5">
      <w:start w:val="1"/>
      <w:numFmt w:val="lowerRoman"/>
      <w:lvlText w:val="%6."/>
      <w:lvlJc w:val="right"/>
      <w:pPr>
        <w:ind w:left="2880" w:hanging="480"/>
      </w:pPr>
      <w:rPr>
        <w:u w:val="none"/>
      </w:rPr>
    </w:lvl>
    <w:lvl w:ilvl="6">
      <w:start w:val="1"/>
      <w:numFmt w:val="decimal"/>
      <w:lvlText w:val="%7."/>
      <w:lvlJc w:val="left"/>
      <w:pPr>
        <w:ind w:left="3360" w:hanging="480"/>
      </w:pPr>
      <w:rPr>
        <w:u w:val="none"/>
      </w:rPr>
    </w:lvl>
    <w:lvl w:ilvl="7">
      <w:start w:val="1"/>
      <w:numFmt w:val="decimal"/>
      <w:lvlText w:val="%8、"/>
      <w:lvlJc w:val="left"/>
      <w:pPr>
        <w:ind w:left="3840" w:hanging="480"/>
      </w:pPr>
      <w:rPr>
        <w:u w:val="none"/>
      </w:rPr>
    </w:lvl>
    <w:lvl w:ilvl="8">
      <w:start w:val="1"/>
      <w:numFmt w:val="lowerRoman"/>
      <w:lvlText w:val="%9."/>
      <w:lvlJc w:val="right"/>
      <w:pPr>
        <w:ind w:left="4320" w:hanging="480"/>
      </w:pPr>
      <w:rPr>
        <w:u w:val="none"/>
      </w:rPr>
    </w:lvl>
  </w:abstractNum>
  <w:abstractNum w:abstractNumId="26" w15:restartNumberingAfterBreak="0">
    <w:nsid w:val="77AC42F9"/>
    <w:multiLevelType w:val="multilevel"/>
    <w:tmpl w:val="FD68063A"/>
    <w:lvl w:ilvl="0">
      <w:start w:val="10"/>
      <w:numFmt w:val="decimal"/>
      <w:lvlText w:val="%1.1"/>
      <w:lvlJc w:val="left"/>
      <w:pPr>
        <w:ind w:left="720" w:hanging="72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7B095982"/>
    <w:multiLevelType w:val="multilevel"/>
    <w:tmpl w:val="42062E5C"/>
    <w:lvl w:ilvl="0">
      <w:start w:val="1"/>
      <w:numFmt w:val="decimal"/>
      <w:lvlText w:val="7.%1"/>
      <w:lvlJc w:val="left"/>
      <w:pPr>
        <w:ind w:left="425" w:hanging="425"/>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654144666">
    <w:abstractNumId w:val="15"/>
  </w:num>
  <w:num w:numId="2" w16cid:durableId="798688709">
    <w:abstractNumId w:val="24"/>
  </w:num>
  <w:num w:numId="3" w16cid:durableId="1016541470">
    <w:abstractNumId w:val="22"/>
  </w:num>
  <w:num w:numId="4" w16cid:durableId="1348290386">
    <w:abstractNumId w:val="4"/>
  </w:num>
  <w:num w:numId="5" w16cid:durableId="549265980">
    <w:abstractNumId w:val="14"/>
  </w:num>
  <w:num w:numId="6" w16cid:durableId="733354827">
    <w:abstractNumId w:val="16"/>
  </w:num>
  <w:num w:numId="7" w16cid:durableId="189338945">
    <w:abstractNumId w:val="5"/>
  </w:num>
  <w:num w:numId="8" w16cid:durableId="1176916124">
    <w:abstractNumId w:val="3"/>
  </w:num>
  <w:num w:numId="9" w16cid:durableId="2111077069">
    <w:abstractNumId w:val="7"/>
  </w:num>
  <w:num w:numId="10" w16cid:durableId="1393770616">
    <w:abstractNumId w:val="20"/>
  </w:num>
  <w:num w:numId="11" w16cid:durableId="2138134177">
    <w:abstractNumId w:val="1"/>
  </w:num>
  <w:num w:numId="12" w16cid:durableId="1942563106">
    <w:abstractNumId w:val="12"/>
  </w:num>
  <w:num w:numId="13" w16cid:durableId="707991536">
    <w:abstractNumId w:val="10"/>
  </w:num>
  <w:num w:numId="14" w16cid:durableId="545724478">
    <w:abstractNumId w:val="19"/>
  </w:num>
  <w:num w:numId="15" w16cid:durableId="947005086">
    <w:abstractNumId w:val="13"/>
  </w:num>
  <w:num w:numId="16" w16cid:durableId="466508487">
    <w:abstractNumId w:val="21"/>
  </w:num>
  <w:num w:numId="17" w16cid:durableId="164899199">
    <w:abstractNumId w:val="26"/>
  </w:num>
  <w:num w:numId="18" w16cid:durableId="1029843328">
    <w:abstractNumId w:val="9"/>
  </w:num>
  <w:num w:numId="19" w16cid:durableId="1147863794">
    <w:abstractNumId w:val="11"/>
  </w:num>
  <w:num w:numId="20" w16cid:durableId="1539900184">
    <w:abstractNumId w:val="25"/>
  </w:num>
  <w:num w:numId="21" w16cid:durableId="804617003">
    <w:abstractNumId w:val="8"/>
  </w:num>
  <w:num w:numId="22" w16cid:durableId="748040284">
    <w:abstractNumId w:val="23"/>
  </w:num>
  <w:num w:numId="23" w16cid:durableId="215356102">
    <w:abstractNumId w:val="17"/>
  </w:num>
  <w:num w:numId="24" w16cid:durableId="1965231177">
    <w:abstractNumId w:val="2"/>
  </w:num>
  <w:num w:numId="25" w16cid:durableId="1876232312">
    <w:abstractNumId w:val="18"/>
  </w:num>
  <w:num w:numId="26" w16cid:durableId="1100678694">
    <w:abstractNumId w:val="6"/>
  </w:num>
  <w:num w:numId="27" w16cid:durableId="1591507214">
    <w:abstractNumId w:val="27"/>
  </w:num>
  <w:num w:numId="28" w16cid:durableId="5654534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79C3"/>
    <w:rsid w:val="000738C7"/>
    <w:rsid w:val="0022750A"/>
    <w:rsid w:val="004341C9"/>
    <w:rsid w:val="00596E92"/>
    <w:rsid w:val="00751087"/>
    <w:rsid w:val="007B7973"/>
    <w:rsid w:val="008F6B9E"/>
    <w:rsid w:val="00902912"/>
    <w:rsid w:val="009357F4"/>
    <w:rsid w:val="00A80FB2"/>
    <w:rsid w:val="00B15BB0"/>
    <w:rsid w:val="00BF287A"/>
    <w:rsid w:val="00C01C50"/>
    <w:rsid w:val="00C049C8"/>
    <w:rsid w:val="00CC7CC8"/>
    <w:rsid w:val="00EA2790"/>
    <w:rsid w:val="00EB79C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728F3"/>
  <w15:docId w15:val="{33DC311B-C5B4-4B26-8E27-A8994ADBF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EastAsia" w:hAnsi="Calibri" w:cs="Calibri"/>
        <w:sz w:val="24"/>
        <w:szCs w:val="24"/>
        <w:lang w:val="en" w:eastAsia="zh-TW"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style>
  <w:style w:type="paragraph" w:styleId="1">
    <w:name w:val="heading 1"/>
    <w:basedOn w:val="a0"/>
    <w:next w:val="a0"/>
    <w:uiPriority w:val="9"/>
    <w:qFormat/>
    <w:pPr>
      <w:keepNext/>
      <w:keepLines/>
      <w:spacing w:before="480" w:after="120"/>
      <w:outlineLvl w:val="0"/>
    </w:pPr>
    <w:rPr>
      <w:b/>
      <w:bCs/>
      <w:sz w:val="48"/>
      <w:szCs w:val="48"/>
    </w:rPr>
  </w:style>
  <w:style w:type="paragraph" w:styleId="2">
    <w:name w:val="heading 2"/>
    <w:basedOn w:val="a0"/>
    <w:next w:val="a0"/>
    <w:uiPriority w:val="9"/>
    <w:unhideWhenUsed/>
    <w:qFormat/>
    <w:pPr>
      <w:keepNext/>
      <w:keepLines/>
      <w:spacing w:before="360" w:after="80"/>
      <w:outlineLvl w:val="1"/>
    </w:pPr>
    <w:rPr>
      <w:b/>
      <w:bCs/>
      <w:sz w:val="36"/>
      <w:szCs w:val="36"/>
    </w:rPr>
  </w:style>
  <w:style w:type="paragraph" w:styleId="3">
    <w:name w:val="heading 3"/>
    <w:basedOn w:val="a0"/>
    <w:next w:val="a0"/>
    <w:uiPriority w:val="9"/>
    <w:unhideWhenUsed/>
    <w:qFormat/>
    <w:pPr>
      <w:keepNext/>
      <w:keepLines/>
      <w:spacing w:before="280" w:after="80"/>
      <w:outlineLvl w:val="2"/>
    </w:pPr>
    <w:rPr>
      <w:b/>
      <w:bCs/>
      <w:sz w:val="28"/>
      <w:szCs w:val="28"/>
    </w:rPr>
  </w:style>
  <w:style w:type="paragraph" w:styleId="4">
    <w:name w:val="heading 4"/>
    <w:basedOn w:val="a0"/>
    <w:next w:val="a0"/>
    <w:uiPriority w:val="9"/>
    <w:unhideWhenUsed/>
    <w:qFormat/>
    <w:pPr>
      <w:keepNext/>
      <w:keepLines/>
      <w:spacing w:before="240" w:after="40"/>
      <w:outlineLvl w:val="3"/>
    </w:pPr>
    <w:rPr>
      <w:b/>
      <w:bCs/>
    </w:rPr>
  </w:style>
  <w:style w:type="paragraph" w:styleId="5">
    <w:name w:val="heading 5"/>
    <w:basedOn w:val="a0"/>
    <w:next w:val="a0"/>
    <w:uiPriority w:val="9"/>
    <w:semiHidden/>
    <w:unhideWhenUsed/>
    <w:qFormat/>
    <w:pPr>
      <w:keepNext/>
      <w:keepLines/>
      <w:spacing w:before="220" w:after="40"/>
      <w:outlineLvl w:val="4"/>
    </w:pPr>
    <w:rPr>
      <w:b/>
      <w:bCs/>
      <w:sz w:val="22"/>
      <w:szCs w:val="22"/>
    </w:rPr>
  </w:style>
  <w:style w:type="paragraph" w:styleId="6">
    <w:name w:val="heading 6"/>
    <w:basedOn w:val="a0"/>
    <w:next w:val="a0"/>
    <w:uiPriority w:val="9"/>
    <w:semiHidden/>
    <w:unhideWhenUsed/>
    <w:qFormat/>
    <w:pPr>
      <w:keepNext/>
      <w:keepLines/>
      <w:spacing w:before="200" w:after="40"/>
      <w:outlineLvl w:val="5"/>
    </w:pPr>
    <w:rPr>
      <w:b/>
      <w:bCs/>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4">
    <w:name w:val="Title"/>
    <w:basedOn w:val="a0"/>
    <w:next w:val="a0"/>
    <w:uiPriority w:val="10"/>
    <w:qFormat/>
    <w:pPr>
      <w:keepNext/>
      <w:keepLines/>
      <w:spacing w:before="480" w:after="120"/>
    </w:pPr>
    <w:rPr>
      <w:b/>
      <w:bCs/>
      <w:sz w:val="72"/>
      <w:szCs w:val="72"/>
    </w:rPr>
  </w:style>
  <w:style w:type="paragraph" w:styleId="a5">
    <w:name w:val="Subtitle"/>
    <w:basedOn w:val="a0"/>
    <w:next w:val="a0"/>
    <w:uiPriority w:val="11"/>
    <w:qFormat/>
    <w:pPr>
      <w:keepNext/>
      <w:keepLines/>
      <w:spacing w:before="360" w:after="80"/>
    </w:pPr>
    <w:rPr>
      <w:rFonts w:ascii="Georgia" w:eastAsia="Georgia" w:hAnsi="Georgia" w:cs="Georgia"/>
      <w:i/>
      <w:iCs/>
      <w:color w:val="666666"/>
      <w:sz w:val="48"/>
      <w:szCs w:val="48"/>
    </w:rPr>
  </w:style>
  <w:style w:type="character" w:styleId="a6">
    <w:name w:val="Hyperlink"/>
    <w:basedOn w:val="a1"/>
    <w:uiPriority w:val="99"/>
    <w:unhideWhenUsed/>
    <w:rsid w:val="004341C9"/>
    <w:rPr>
      <w:color w:val="0000FF" w:themeColor="hyperlink"/>
      <w:u w:val="single"/>
    </w:rPr>
  </w:style>
  <w:style w:type="character" w:styleId="a7">
    <w:name w:val="Unresolved Mention"/>
    <w:basedOn w:val="a1"/>
    <w:uiPriority w:val="99"/>
    <w:semiHidden/>
    <w:unhideWhenUsed/>
    <w:rsid w:val="004341C9"/>
    <w:rPr>
      <w:color w:val="605E5C"/>
      <w:shd w:val="clear" w:color="auto" w:fill="E1DFDD"/>
    </w:rPr>
  </w:style>
  <w:style w:type="paragraph" w:styleId="a">
    <w:name w:val="List Bullet"/>
    <w:basedOn w:val="a0"/>
    <w:uiPriority w:val="99"/>
    <w:unhideWhenUsed/>
    <w:rsid w:val="004341C9"/>
    <w:pPr>
      <w:numPr>
        <w:numId w:val="28"/>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hk5yplan@cmab.gov.hk"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3" Type="http://schemas.openxmlformats.org/officeDocument/2006/relationships/hyperlink" Target="https://www.legco.gov.hk/yr2024/chinese/panels/ea/papers/eatp20241216cb1-1225-1-c.pdf" TargetMode="External"/><Relationship Id="rId2" Type="http://schemas.openxmlformats.org/officeDocument/2006/relationships/hyperlink" Target="https://www.legco.gov.hk/yr2023/chinese/hc/sub_com/hs53/papers/hs5320250218cb1-215-3-c.pdf" TargetMode="External"/><Relationship Id="rId1" Type="http://schemas.openxmlformats.org/officeDocument/2006/relationships/hyperlink" Target="https://www.rehabsociety.org.hk/zh-hant/%E6%96%87%E9%AB%94%E6%97%85%E8%A8%AD%E6%96%BD%E7%84%A1%E9%9A%9C%E7%A4%99%E5%B7%A1%E6%9F%A5%E7%A0%94%E7%A9%B6%E7%B5%90%E6%9E%9C-chinese-version-only/" TargetMode="External"/><Relationship Id="rId6" Type="http://schemas.openxmlformats.org/officeDocument/2006/relationships/hyperlink" Target="https://app7.legco.gov.hk/rpdb/tc/uploads/2025/ISSH/ISSH10_2025_20250521_tc.pdf" TargetMode="External"/><Relationship Id="rId5" Type="http://schemas.openxmlformats.org/officeDocument/2006/relationships/hyperlink" Target="https://www.policyaddress.gov.hk/2025/tc/p152.html" TargetMode="External"/><Relationship Id="rId4" Type="http://schemas.openxmlformats.org/officeDocument/2006/relationships/hyperlink" Target="https://www.rehabsociety.org.hk/zh-hant/%E6%AE%98%E7%96%BE%E4%BA%BA%E5%A3%AB%E4%BD%BF%E7%94%A8%E6%B8%AF%E9%90%B5%E5%8D%87%E9%99%8D%E6%A9%9F%E5%B7%A1%E6%9F%A5%E7%A0%94%E7%A9%B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xv2da1sdkWuOSGFTDt7NHg2JJQ==">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20</Pages>
  <Words>2592</Words>
  <Characters>14778</Characters>
  <Application>Microsoft Office Word</Application>
  <DocSecurity>0</DocSecurity>
  <Lines>123</Lines>
  <Paragraphs>34</Paragraphs>
  <ScaleCrop>false</ScaleCrop>
  <Company/>
  <LinksUpToDate>false</LinksUpToDate>
  <CharactersWithSpaces>17336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Nora Leung</dc:creator>
  <cp:lastModifiedBy>Nora Leung</cp:lastModifiedBy>
  <cp:revision>7</cp:revision>
  <cp:lastPrinted>2026-08-10T07:40:00Z</cp:lastPrinted>
  <dcterms:created xsi:type="dcterms:W3CDTF">2026-08-07T09:55:00Z</dcterms:created>
  <dcterms:modified xsi:type="dcterms:W3CDTF">2026-08-10T09:28:00Z</dcterms:modified>
</cp:coreProperties>
</file>