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spacing w:before="8"/>
        <w:rPr>
          <w:sz w:val="10"/>
        </w:rPr>
      </w:pPr>
    </w:p>
    <w:p w:rsidR="00214939" w:rsidRDefault="00214939">
      <w:pPr>
        <w:pStyle w:val="a3"/>
        <w:ind w:left="2196"/>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rPr>
          <w:sz w:val="20"/>
        </w:rPr>
      </w:pPr>
    </w:p>
    <w:p w:rsidR="00214939" w:rsidRDefault="00214939">
      <w:pPr>
        <w:pStyle w:val="a3"/>
        <w:spacing w:before="2"/>
        <w:rPr>
          <w:sz w:val="19"/>
        </w:rPr>
      </w:pPr>
    </w:p>
    <w:p w:rsidR="00214939" w:rsidRPr="00BE4CFD" w:rsidRDefault="00B95C6E" w:rsidP="00BE4CFD">
      <w:pPr>
        <w:tabs>
          <w:tab w:val="left" w:pos="4851"/>
        </w:tabs>
        <w:spacing w:before="81" w:line="223" w:lineRule="auto"/>
        <w:ind w:left="2568" w:right="1983" w:hanging="1104"/>
        <w:rPr>
          <w:rFonts w:ascii="新細明體" w:eastAsia="新細明體" w:hint="eastAsia"/>
          <w:b/>
          <w:sz w:val="52"/>
        </w:rPr>
        <w:sectPr w:rsidR="00214939" w:rsidRPr="00BE4CFD">
          <w:type w:val="continuous"/>
          <w:pgSz w:w="11910" w:h="16840"/>
          <w:pgMar w:top="1580" w:right="260" w:bottom="280" w:left="780" w:header="720" w:footer="720" w:gutter="0"/>
          <w:cols w:space="720"/>
        </w:sectPr>
      </w:pPr>
      <w:r>
        <w:rPr>
          <w:rFonts w:ascii="新細明體" w:eastAsia="新細明體" w:hint="eastAsia"/>
          <w:b/>
          <w:sz w:val="52"/>
        </w:rPr>
        <w:t>香港復康會就</w:t>
      </w:r>
      <w:r>
        <w:rPr>
          <w:rFonts w:ascii="新細明體" w:eastAsia="新細明體" w:hint="eastAsia"/>
          <w:b/>
          <w:sz w:val="52"/>
        </w:rPr>
        <w:tab/>
      </w:r>
      <w:r>
        <w:rPr>
          <w:b/>
          <w:sz w:val="52"/>
        </w:rPr>
        <w:t xml:space="preserve">2018 </w:t>
      </w:r>
      <w:r>
        <w:rPr>
          <w:rFonts w:ascii="新細明體" w:eastAsia="新細明體" w:hint="eastAsia"/>
          <w:b/>
          <w:sz w:val="52"/>
        </w:rPr>
        <w:t>至</w:t>
      </w:r>
      <w:r>
        <w:rPr>
          <w:rFonts w:ascii="新細明體" w:eastAsia="新細明體" w:hint="eastAsia"/>
          <w:b/>
          <w:spacing w:val="-7"/>
          <w:sz w:val="52"/>
        </w:rPr>
        <w:t xml:space="preserve"> </w:t>
      </w:r>
      <w:r>
        <w:rPr>
          <w:b/>
          <w:sz w:val="52"/>
        </w:rPr>
        <w:t>2019</w:t>
      </w:r>
      <w:r>
        <w:rPr>
          <w:b/>
          <w:spacing w:val="-4"/>
          <w:sz w:val="52"/>
        </w:rPr>
        <w:t xml:space="preserve"> </w:t>
      </w:r>
      <w:r w:rsidR="00BE4CFD">
        <w:rPr>
          <w:rFonts w:ascii="新細明體" w:eastAsia="新細明體" w:hint="eastAsia"/>
          <w:b/>
          <w:sz w:val="52"/>
        </w:rPr>
        <w:t>年度施政報告提交的意見</w:t>
      </w:r>
    </w:p>
    <w:p w:rsidR="00214939" w:rsidRPr="00BE4CFD" w:rsidRDefault="00214939">
      <w:pPr>
        <w:pStyle w:val="a3"/>
        <w:rPr>
          <w:rFonts w:ascii="新細明體" w:eastAsiaTheme="minorEastAsia" w:hint="eastAsia"/>
          <w:b/>
          <w:sz w:val="20"/>
        </w:rPr>
      </w:pPr>
    </w:p>
    <w:p w:rsidR="00214939" w:rsidRDefault="00B95C6E">
      <w:pPr>
        <w:pStyle w:val="3"/>
        <w:spacing w:before="74"/>
        <w:ind w:left="2258"/>
      </w:pPr>
      <w:r>
        <w:t xml:space="preserve">香港復康會就 </w:t>
      </w:r>
      <w:r>
        <w:rPr>
          <w:rFonts w:ascii="Times New Roman" w:eastAsia="Times New Roman"/>
        </w:rPr>
        <w:t xml:space="preserve">2018 </w:t>
      </w:r>
      <w:r>
        <w:t xml:space="preserve">至 </w:t>
      </w:r>
      <w:r>
        <w:rPr>
          <w:rFonts w:ascii="Times New Roman" w:eastAsia="Times New Roman"/>
        </w:rPr>
        <w:t xml:space="preserve">2019 </w:t>
      </w:r>
      <w:r>
        <w:t>年度施政報告提交的意見書</w:t>
      </w:r>
    </w:p>
    <w:p w:rsidR="00214939" w:rsidRDefault="00214939">
      <w:pPr>
        <w:pStyle w:val="a3"/>
        <w:rPr>
          <w:rFonts w:ascii="新細明體"/>
          <w:b/>
          <w:sz w:val="26"/>
        </w:rPr>
      </w:pPr>
    </w:p>
    <w:p w:rsidR="00214939" w:rsidRDefault="00B95C6E">
      <w:pPr>
        <w:pStyle w:val="a3"/>
        <w:spacing w:before="189" w:line="256" w:lineRule="auto"/>
        <w:ind w:left="1020" w:right="1536" w:firstLine="479"/>
        <w:jc w:val="both"/>
        <w:rPr>
          <w:rFonts w:ascii="新細明體" w:eastAsia="新細明體"/>
        </w:rPr>
      </w:pPr>
      <w:r>
        <w:rPr>
          <w:rFonts w:ascii="新細明體" w:eastAsia="新細明體" w:hint="eastAsia"/>
          <w:spacing w:val="-7"/>
        </w:rPr>
        <w:t>香港復康會一直致力為殘疾人士、長期病患者及長者提供適切和優質的無障</w:t>
      </w:r>
      <w:r>
        <w:rPr>
          <w:rFonts w:ascii="新細明體" w:eastAsia="新細明體" w:hint="eastAsia"/>
          <w:spacing w:val="-11"/>
        </w:rPr>
        <w:t>礙運輸及旅遊、復康和持續照顧等服務。本會期望行政長官林鄭月娥女士能貫徹</w:t>
      </w:r>
      <w:r>
        <w:rPr>
          <w:rFonts w:ascii="新細明體" w:eastAsia="新細明體" w:hint="eastAsia"/>
          <w:spacing w:val="-7"/>
        </w:rPr>
        <w:t>競選政綱內「同行建共識 經濟民生齊推進」的理念</w:t>
      </w:r>
      <w:r>
        <w:rPr>
          <w:spacing w:val="-22"/>
          <w:vertAlign w:val="superscript"/>
        </w:rPr>
        <w:t>1</w:t>
      </w:r>
      <w:r>
        <w:rPr>
          <w:rFonts w:ascii="新細明體" w:eastAsia="新細明體" w:hint="eastAsia"/>
          <w:spacing w:val="-34"/>
        </w:rPr>
        <w:t>，以「關心」、「聆聽」和「行動」關心市民，竭力改善殘疾人士、長期病患者和長者的福祉。</w:t>
      </w:r>
    </w:p>
    <w:p w:rsidR="00214939" w:rsidRDefault="00B95C6E">
      <w:pPr>
        <w:pStyle w:val="a3"/>
        <w:spacing w:before="183" w:line="256" w:lineRule="auto"/>
        <w:ind w:left="1020" w:right="1536"/>
        <w:jc w:val="both"/>
      </w:pPr>
      <w:r>
        <w:t xml:space="preserve">2015 </w:t>
      </w:r>
      <w:r>
        <w:rPr>
          <w:rFonts w:ascii="新細明體" w:eastAsia="新細明體" w:hint="eastAsia"/>
          <w:spacing w:val="-2"/>
        </w:rPr>
        <w:t xml:space="preserve">年 </w:t>
      </w:r>
      <w:r>
        <w:t xml:space="preserve">9 </w:t>
      </w:r>
      <w:r>
        <w:rPr>
          <w:rFonts w:ascii="新細明體" w:eastAsia="新細明體" w:hint="eastAsia"/>
          <w:spacing w:val="-1"/>
        </w:rPr>
        <w:t xml:space="preserve">月聯合國全體 </w:t>
      </w:r>
      <w:r>
        <w:t xml:space="preserve">193 </w:t>
      </w:r>
      <w:r>
        <w:rPr>
          <w:rFonts w:ascii="新細明體" w:eastAsia="新細明體" w:hint="eastAsia"/>
        </w:rPr>
        <w:t>個成員國通過《</w:t>
      </w:r>
      <w:r>
        <w:t xml:space="preserve">2030 </w:t>
      </w:r>
      <w:r>
        <w:rPr>
          <w:rFonts w:ascii="新細明體" w:eastAsia="新細明體" w:hint="eastAsia"/>
        </w:rPr>
        <w:t>年可持續發展議程》</w:t>
      </w:r>
      <w:r>
        <w:t>(The 2030 Agenda for Sustainable Development</w:t>
      </w:r>
      <w:r>
        <w:rPr>
          <w:rFonts w:ascii="新細明體" w:eastAsia="新細明體" w:hint="eastAsia"/>
        </w:rPr>
        <w:t>)</w:t>
      </w:r>
      <w:r>
        <w:rPr>
          <w:vertAlign w:val="superscript"/>
        </w:rPr>
        <w:t>2</w:t>
      </w:r>
      <w:r>
        <w:rPr>
          <w:rFonts w:ascii="新細明體" w:eastAsia="新細明體" w:hint="eastAsia"/>
        </w:rPr>
        <w:t xml:space="preserve">，致力推動各國合力於 </w:t>
      </w:r>
      <w:r>
        <w:t xml:space="preserve">2030 </w:t>
      </w:r>
      <w:r>
        <w:rPr>
          <w:rFonts w:ascii="新細明體" w:eastAsia="新細明體" w:hint="eastAsia"/>
        </w:rPr>
        <w:t>年前促進涵蓋</w:t>
      </w:r>
      <w:r>
        <w:rPr>
          <w:rFonts w:ascii="新細明體" w:eastAsia="新細明體" w:hint="eastAsia"/>
          <w:spacing w:val="-1"/>
        </w:rPr>
        <w:t xml:space="preserve">社會不同重要範疇的 </w:t>
      </w:r>
      <w:r>
        <w:t xml:space="preserve">17 </w:t>
      </w:r>
      <w:r>
        <w:rPr>
          <w:rFonts w:ascii="新細明體" w:eastAsia="新細明體" w:hint="eastAsia"/>
          <w:spacing w:val="-20"/>
        </w:rPr>
        <w:t>項「可持續發展目標」</w:t>
      </w:r>
      <w:r>
        <w:t xml:space="preserve">(Sustainable Development Goals) </w:t>
      </w:r>
      <w:r>
        <w:rPr>
          <w:spacing w:val="-23"/>
          <w:position w:val="9"/>
          <w:sz w:val="16"/>
        </w:rPr>
        <w:t>3</w:t>
      </w:r>
      <w:r>
        <w:rPr>
          <w:rFonts w:ascii="新細明體" w:eastAsia="新細明體" w:hint="eastAsia"/>
          <w:spacing w:val="-23"/>
        </w:rPr>
        <w:t xml:space="preserve">， </w:t>
      </w:r>
      <w:r>
        <w:rPr>
          <w:rFonts w:ascii="新細明體" w:eastAsia="新細明體" w:hint="eastAsia"/>
          <w:spacing w:val="-10"/>
        </w:rPr>
        <w:t>包括「消滅貧窮」、「健康與福祉」、「性別平等」、「氣候行動」和「優質教育」等，以達至全球的社會進步及可持續發展。</w:t>
      </w:r>
    </w:p>
    <w:p w:rsidR="00214939" w:rsidRDefault="00214939">
      <w:pPr>
        <w:pStyle w:val="a3"/>
        <w:rPr>
          <w:sz w:val="26"/>
        </w:rPr>
      </w:pPr>
    </w:p>
    <w:p w:rsidR="00214939" w:rsidRDefault="00214939">
      <w:pPr>
        <w:pStyle w:val="a3"/>
        <w:spacing w:before="4"/>
        <w:rPr>
          <w:sz w:val="21"/>
        </w:rPr>
      </w:pPr>
    </w:p>
    <w:p w:rsidR="00214939" w:rsidRDefault="00B95C6E">
      <w:pPr>
        <w:pStyle w:val="a3"/>
        <w:spacing w:before="1" w:line="256" w:lineRule="auto"/>
        <w:ind w:left="1020" w:right="1538" w:firstLine="479"/>
        <w:jc w:val="both"/>
        <w:rPr>
          <w:rFonts w:ascii="新細明體" w:eastAsia="新細明體"/>
        </w:rPr>
      </w:pPr>
      <w:r>
        <w:rPr>
          <w:rFonts w:ascii="新細明體" w:eastAsia="新細明體" w:hint="eastAsia"/>
          <w:spacing w:val="-6"/>
        </w:rPr>
        <w:t>本會在此意見書以聯合國提出改變世界的『可持續發展目標』作參考，並集</w:t>
      </w:r>
      <w:r>
        <w:rPr>
          <w:rFonts w:ascii="新細明體" w:eastAsia="新細明體" w:hint="eastAsia"/>
          <w:spacing w:val="-11"/>
        </w:rPr>
        <w:t>中在殘疾人士、長期病患者及長者相關的三個主要發展目標作討論和建議：包括</w:t>
      </w:r>
    </w:p>
    <w:p w:rsidR="00214939" w:rsidRDefault="00B95C6E">
      <w:pPr>
        <w:pStyle w:val="a3"/>
        <w:spacing w:before="1" w:line="256" w:lineRule="auto"/>
        <w:ind w:left="1020" w:right="1538"/>
        <w:jc w:val="both"/>
        <w:rPr>
          <w:rFonts w:ascii="新細明體" w:eastAsia="新細明體"/>
        </w:rPr>
      </w:pPr>
      <w:r>
        <w:rPr>
          <w:rFonts w:ascii="新細明體" w:eastAsia="新細明體" w:hint="eastAsia"/>
          <w:spacing w:val="-22"/>
        </w:rPr>
        <w:t>「健康與福祉」、「就業與經濟成長」和「永續城市」，範疇包括醫療、復康、社</w:t>
      </w:r>
      <w:r>
        <w:rPr>
          <w:rFonts w:ascii="新細明體" w:eastAsia="新細明體" w:hint="eastAsia"/>
          <w:spacing w:val="-17"/>
        </w:rPr>
        <w:t>會福利和殘疾人士就業、無障礙旅遊發展及環境、以及災難應變工作等。這亦可</w:t>
      </w:r>
      <w:r>
        <w:rPr>
          <w:rFonts w:ascii="新細明體" w:eastAsia="新細明體" w:hint="eastAsia"/>
          <w:spacing w:val="-10"/>
        </w:rPr>
        <w:t xml:space="preserve">配合本港《香港遠景 </w:t>
      </w:r>
      <w:r>
        <w:t>2030</w:t>
      </w:r>
      <w:r>
        <w:rPr>
          <w:spacing w:val="-1"/>
        </w:rPr>
        <w:t xml:space="preserve"> +</w:t>
      </w:r>
      <w:r>
        <w:rPr>
          <w:rFonts w:ascii="新細明體" w:eastAsia="新細明體" w:hint="eastAsia"/>
        </w:rPr>
        <w:t>》的持續發展。</w:t>
      </w:r>
    </w:p>
    <w:p w:rsidR="00214939" w:rsidRDefault="00214939">
      <w:pPr>
        <w:spacing w:line="256" w:lineRule="auto"/>
        <w:jc w:val="both"/>
        <w:rPr>
          <w:rFonts w:ascii="新細明體" w:eastAsia="新細明體"/>
        </w:rPr>
        <w:sectPr w:rsidR="00214939">
          <w:footerReference w:type="default" r:id="rId8"/>
          <w:pgSz w:w="11910" w:h="16840"/>
          <w:pgMar w:top="1580" w:right="260" w:bottom="1060" w:left="780" w:header="0" w:footer="875" w:gutter="0"/>
          <w:cols w:space="720"/>
        </w:sectPr>
      </w:pPr>
    </w:p>
    <w:p w:rsidR="00214939" w:rsidRDefault="00B95C6E">
      <w:pPr>
        <w:spacing w:before="29" w:line="223" w:lineRule="auto"/>
        <w:ind w:left="2285" w:right="2429" w:hanging="372"/>
        <w:rPr>
          <w:rFonts w:ascii="新細明體" w:eastAsia="新細明體"/>
          <w:sz w:val="32"/>
        </w:rPr>
      </w:pPr>
      <w:r>
        <w:rPr>
          <w:rFonts w:ascii="新細明體" w:eastAsia="新細明體" w:hint="eastAsia"/>
          <w:sz w:val="32"/>
        </w:rPr>
        <w:lastRenderedPageBreak/>
        <w:t xml:space="preserve">香港復康會以聯合國「可持續發展目標」為框架就 </w:t>
      </w:r>
      <w:r>
        <w:rPr>
          <w:rFonts w:ascii="Calibri" w:eastAsia="Calibri"/>
          <w:sz w:val="32"/>
        </w:rPr>
        <w:t xml:space="preserve">2018 </w:t>
      </w:r>
      <w:r>
        <w:rPr>
          <w:rFonts w:ascii="新細明體" w:eastAsia="新細明體" w:hint="eastAsia"/>
          <w:sz w:val="32"/>
        </w:rPr>
        <w:t xml:space="preserve">至 </w:t>
      </w:r>
      <w:r>
        <w:rPr>
          <w:rFonts w:ascii="Calibri" w:eastAsia="Calibri"/>
          <w:sz w:val="32"/>
        </w:rPr>
        <w:t xml:space="preserve">2019 </w:t>
      </w:r>
      <w:r>
        <w:rPr>
          <w:rFonts w:ascii="新細明體" w:eastAsia="新細明體" w:hint="eastAsia"/>
          <w:sz w:val="32"/>
        </w:rPr>
        <w:t>年度施政報告的主要建議</w:t>
      </w:r>
    </w:p>
    <w:p w:rsidR="00214939" w:rsidRPr="00BE4CFD" w:rsidRDefault="00214939">
      <w:pPr>
        <w:rPr>
          <w:rFonts w:ascii="新細明體" w:eastAsiaTheme="minorEastAsia" w:hint="eastAsia"/>
          <w:sz w:val="25"/>
        </w:rPr>
        <w:sectPr w:rsidR="00214939" w:rsidRPr="00BE4CFD">
          <w:footerReference w:type="default" r:id="rId9"/>
          <w:pgSz w:w="11910" w:h="16840"/>
          <w:pgMar w:top="1400" w:right="260" w:bottom="280" w:left="780" w:header="0" w:footer="0" w:gutter="0"/>
          <w:cols w:space="720"/>
        </w:sectPr>
      </w:pPr>
    </w:p>
    <w:p w:rsidR="00BE4CFD" w:rsidRDefault="00BE4CFD" w:rsidP="00BE4CFD">
      <w:pPr>
        <w:tabs>
          <w:tab w:val="left" w:pos="419"/>
        </w:tabs>
        <w:spacing w:before="73" w:line="223" w:lineRule="auto"/>
        <w:ind w:right="867"/>
        <w:rPr>
          <w:rFonts w:ascii="Calibri" w:eastAsiaTheme="minorEastAsia"/>
          <w:sz w:val="20"/>
        </w:rPr>
      </w:pP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 xml:space="preserve">    </w:t>
      </w:r>
      <w:r w:rsidRPr="002137D6">
        <w:rPr>
          <w:rFonts w:ascii="Calibri" w:eastAsiaTheme="minorEastAsia" w:hint="eastAsia"/>
          <w:sz w:val="20"/>
        </w:rPr>
        <w:t>健康與福址</w:t>
      </w:r>
    </w:p>
    <w:p w:rsidR="002137D6" w:rsidRPr="002137D6" w:rsidRDefault="002137D6" w:rsidP="002137D6">
      <w:pPr>
        <w:tabs>
          <w:tab w:val="left" w:pos="419"/>
        </w:tabs>
        <w:spacing w:before="73" w:line="223" w:lineRule="auto"/>
        <w:ind w:right="867"/>
        <w:rPr>
          <w:rFonts w:ascii="Calibri" w:eastAsiaTheme="minorEastAsia"/>
          <w:sz w:val="20"/>
        </w:rPr>
      </w:pP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1.1</w:t>
      </w:r>
      <w:r w:rsidRPr="002137D6">
        <w:rPr>
          <w:rFonts w:ascii="Calibri" w:eastAsiaTheme="minorEastAsia"/>
          <w:sz w:val="20"/>
        </w:rPr>
        <w:tab/>
      </w:r>
      <w:r w:rsidRPr="002137D6">
        <w:rPr>
          <w:rFonts w:ascii="Calibri" w:eastAsiaTheme="minorEastAsia" w:hint="eastAsia"/>
          <w:sz w:val="20"/>
        </w:rPr>
        <w:t>投資於基層醫療服務</w:t>
      </w:r>
    </w:p>
    <w:p w:rsidR="002137D6" w:rsidRPr="002137D6" w:rsidRDefault="002137D6" w:rsidP="002137D6">
      <w:pPr>
        <w:tabs>
          <w:tab w:val="left" w:pos="419"/>
        </w:tabs>
        <w:spacing w:before="73" w:line="223" w:lineRule="auto"/>
        <w:ind w:right="867"/>
        <w:rPr>
          <w:rFonts w:ascii="Calibri" w:eastAsiaTheme="minorEastAsia"/>
          <w:sz w:val="20"/>
        </w:rPr>
      </w:pP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1.2</w:t>
      </w:r>
      <w:r w:rsidRPr="002137D6">
        <w:rPr>
          <w:rFonts w:ascii="Calibri" w:eastAsiaTheme="minorEastAsia"/>
          <w:sz w:val="20"/>
        </w:rPr>
        <w:tab/>
      </w:r>
      <w:r w:rsidRPr="002137D6">
        <w:rPr>
          <w:rFonts w:ascii="Calibri" w:eastAsiaTheme="minorEastAsia" w:hint="eastAsia"/>
          <w:sz w:val="20"/>
        </w:rPr>
        <w:t>強化非政府機構在醫療體系和社區健康及復康的角色與功能</w:t>
      </w:r>
    </w:p>
    <w:p w:rsidR="002137D6" w:rsidRPr="002137D6" w:rsidRDefault="002137D6" w:rsidP="002137D6">
      <w:pPr>
        <w:tabs>
          <w:tab w:val="left" w:pos="419"/>
        </w:tabs>
        <w:spacing w:before="73" w:line="223" w:lineRule="auto"/>
        <w:ind w:right="867"/>
        <w:rPr>
          <w:rFonts w:ascii="Calibri" w:eastAsiaTheme="minorEastAsia"/>
          <w:sz w:val="20"/>
        </w:rPr>
      </w:pP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1.3</w:t>
      </w:r>
      <w:r w:rsidRPr="002137D6">
        <w:rPr>
          <w:rFonts w:ascii="Calibri" w:eastAsiaTheme="minorEastAsia"/>
          <w:sz w:val="20"/>
        </w:rPr>
        <w:tab/>
      </w:r>
      <w:r w:rsidRPr="002137D6">
        <w:rPr>
          <w:rFonts w:ascii="Calibri" w:eastAsiaTheme="minorEastAsia" w:hint="eastAsia"/>
          <w:sz w:val="20"/>
        </w:rPr>
        <w:t>加強「用者參與」及「持份者參與」</w:t>
      </w: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1.4</w:t>
      </w:r>
      <w:r w:rsidRPr="002137D6">
        <w:rPr>
          <w:rFonts w:ascii="Calibri" w:eastAsiaTheme="minorEastAsia"/>
          <w:sz w:val="20"/>
        </w:rPr>
        <w:tab/>
      </w:r>
      <w:r w:rsidRPr="002137D6">
        <w:rPr>
          <w:rFonts w:ascii="Calibri" w:eastAsiaTheme="minorEastAsia" w:hint="eastAsia"/>
          <w:sz w:val="20"/>
        </w:rPr>
        <w:t>推動復康和照顧科技產品的創新</w:t>
      </w: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1.5</w:t>
      </w:r>
      <w:r w:rsidRPr="002137D6">
        <w:rPr>
          <w:rFonts w:ascii="Calibri" w:eastAsiaTheme="minorEastAsia"/>
          <w:sz w:val="20"/>
        </w:rPr>
        <w:tab/>
      </w:r>
      <w:r w:rsidRPr="002137D6">
        <w:rPr>
          <w:rFonts w:ascii="Calibri" w:eastAsiaTheme="minorEastAsia" w:hint="eastAsia"/>
          <w:sz w:val="20"/>
        </w:rPr>
        <w:t>加強跨政策局、跨部門及跨界別的協作，每年召開「復康高峰會」</w:t>
      </w:r>
    </w:p>
    <w:p w:rsidR="002137D6" w:rsidRP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sz w:val="20"/>
        </w:rPr>
        <w:t>1.6</w:t>
      </w:r>
      <w:r w:rsidRPr="002137D6">
        <w:rPr>
          <w:rFonts w:ascii="Calibri" w:eastAsiaTheme="minorEastAsia"/>
          <w:sz w:val="20"/>
        </w:rPr>
        <w:tab/>
      </w:r>
      <w:r w:rsidRPr="002137D6">
        <w:rPr>
          <w:rFonts w:ascii="Calibri" w:eastAsiaTheme="minorEastAsia" w:hint="eastAsia"/>
          <w:sz w:val="20"/>
        </w:rPr>
        <w:t>跟進現時醫療、復康和長者相關政策，特別是盡快及全面檢討《香港康復計劃方案》、落實跟進</w:t>
      </w:r>
    </w:p>
    <w:p w:rsidR="002137D6" w:rsidRDefault="002137D6" w:rsidP="002137D6">
      <w:pPr>
        <w:tabs>
          <w:tab w:val="left" w:pos="419"/>
        </w:tabs>
        <w:spacing w:before="73" w:line="223" w:lineRule="auto"/>
        <w:ind w:right="867"/>
        <w:rPr>
          <w:rFonts w:ascii="Calibri" w:eastAsiaTheme="minorEastAsia"/>
          <w:sz w:val="20"/>
        </w:rPr>
      </w:pPr>
      <w:r w:rsidRPr="002137D6">
        <w:rPr>
          <w:rFonts w:ascii="Calibri" w:eastAsiaTheme="minorEastAsia" w:hint="eastAsia"/>
          <w:sz w:val="20"/>
        </w:rPr>
        <w:t>《安老服務計劃方案》等</w:t>
      </w:r>
    </w:p>
    <w:p w:rsidR="002137D6" w:rsidRDefault="002137D6" w:rsidP="002137D6">
      <w:pPr>
        <w:tabs>
          <w:tab w:val="left" w:pos="419"/>
        </w:tabs>
        <w:spacing w:before="73" w:line="223" w:lineRule="auto"/>
        <w:ind w:right="867"/>
        <w:rPr>
          <w:rFonts w:ascii="Calibri" w:eastAsiaTheme="minorEastAsia"/>
          <w:sz w:val="20"/>
        </w:rPr>
      </w:pPr>
    </w:p>
    <w:p w:rsidR="002137D6" w:rsidRDefault="002137D6" w:rsidP="002137D6">
      <w:pPr>
        <w:tabs>
          <w:tab w:val="left" w:pos="419"/>
        </w:tabs>
        <w:spacing w:before="73" w:line="223" w:lineRule="auto"/>
        <w:ind w:right="867"/>
        <w:rPr>
          <w:rFonts w:ascii="Calibri" w:eastAsiaTheme="minorEastAsia"/>
          <w:sz w:val="20"/>
        </w:rPr>
      </w:pPr>
    </w:p>
    <w:p w:rsidR="002137D6" w:rsidRDefault="002137D6" w:rsidP="002137D6">
      <w:pPr>
        <w:tabs>
          <w:tab w:val="left" w:pos="419"/>
        </w:tabs>
        <w:spacing w:before="73" w:line="223" w:lineRule="auto"/>
        <w:ind w:right="867"/>
        <w:rPr>
          <w:rFonts w:ascii="Calibri" w:eastAsiaTheme="minorEastAsia"/>
          <w:sz w:val="20"/>
        </w:rPr>
      </w:pPr>
    </w:p>
    <w:p w:rsidR="002137D6" w:rsidRDefault="002137D6" w:rsidP="002137D6">
      <w:pPr>
        <w:tabs>
          <w:tab w:val="left" w:pos="419"/>
        </w:tabs>
        <w:spacing w:before="73" w:line="223" w:lineRule="auto"/>
        <w:ind w:right="867"/>
        <w:rPr>
          <w:rFonts w:ascii="Calibri" w:eastAsiaTheme="minorEastAsia"/>
          <w:sz w:val="20"/>
        </w:rPr>
      </w:pPr>
    </w:p>
    <w:p w:rsidR="002137D6" w:rsidRDefault="002137D6" w:rsidP="002137D6">
      <w:pPr>
        <w:tabs>
          <w:tab w:val="left" w:pos="419"/>
        </w:tabs>
        <w:spacing w:before="73" w:line="223" w:lineRule="auto"/>
        <w:ind w:right="867"/>
        <w:rPr>
          <w:rFonts w:ascii="Calibri" w:eastAsiaTheme="minorEastAsia"/>
          <w:sz w:val="20"/>
        </w:rPr>
      </w:pPr>
    </w:p>
    <w:p w:rsidR="00BE4CFD" w:rsidRDefault="00BE4CFD" w:rsidP="002137D6">
      <w:pPr>
        <w:tabs>
          <w:tab w:val="left" w:pos="419"/>
        </w:tabs>
        <w:spacing w:before="73" w:line="223" w:lineRule="auto"/>
        <w:ind w:right="867"/>
        <w:rPr>
          <w:rFonts w:ascii="Calibri" w:eastAsiaTheme="minorEastAsia"/>
          <w:sz w:val="20"/>
          <w:lang w:eastAsia="zh-TW"/>
        </w:rPr>
      </w:pPr>
      <w:r>
        <w:rPr>
          <w:rFonts w:ascii="Calibri" w:eastAsiaTheme="minorEastAsia" w:hint="eastAsia"/>
          <w:sz w:val="20"/>
          <w:lang w:eastAsia="zh-TW"/>
        </w:rPr>
        <w:t>就業與經濟成長</w:t>
      </w:r>
    </w:p>
    <w:p w:rsidR="002137D6" w:rsidRPr="00BE4CFD" w:rsidRDefault="002137D6" w:rsidP="002137D6">
      <w:pPr>
        <w:tabs>
          <w:tab w:val="left" w:pos="419"/>
        </w:tabs>
        <w:spacing w:before="73" w:line="223" w:lineRule="auto"/>
        <w:ind w:right="867"/>
        <w:rPr>
          <w:rFonts w:ascii="Calibri" w:eastAsiaTheme="minorEastAsia" w:hint="eastAsia"/>
          <w:sz w:val="20"/>
        </w:rPr>
      </w:pPr>
    </w:p>
    <w:p w:rsidR="00214939" w:rsidRDefault="00B95C6E">
      <w:pPr>
        <w:pStyle w:val="a4"/>
        <w:numPr>
          <w:ilvl w:val="1"/>
          <w:numId w:val="11"/>
        </w:numPr>
        <w:tabs>
          <w:tab w:val="left" w:pos="419"/>
        </w:tabs>
        <w:spacing w:before="73" w:line="223" w:lineRule="auto"/>
        <w:ind w:right="867" w:hanging="300"/>
        <w:rPr>
          <w:rFonts w:ascii="Calibri" w:eastAsia="Calibri"/>
          <w:sz w:val="20"/>
        </w:rPr>
      </w:pPr>
      <w:r>
        <w:rPr>
          <w:sz w:val="20"/>
        </w:rPr>
        <w:t>推動商界、政府、公營機構及受資助機構增</w:t>
      </w:r>
      <w:r>
        <w:rPr>
          <w:spacing w:val="2"/>
          <w:sz w:val="20"/>
        </w:rPr>
        <w:t xml:space="preserve">聘殘疾人士，建議聘用率為 </w:t>
      </w:r>
      <w:r>
        <w:rPr>
          <w:rFonts w:ascii="Calibri" w:eastAsia="Calibri"/>
          <w:sz w:val="20"/>
        </w:rPr>
        <w:t>2-4%</w:t>
      </w:r>
    </w:p>
    <w:p w:rsidR="00214939" w:rsidRDefault="00214939">
      <w:pPr>
        <w:pStyle w:val="a3"/>
        <w:spacing w:before="11"/>
        <w:rPr>
          <w:rFonts w:ascii="Calibri"/>
          <w:sz w:val="19"/>
        </w:rPr>
      </w:pPr>
    </w:p>
    <w:p w:rsidR="00214939" w:rsidRDefault="00B95C6E">
      <w:pPr>
        <w:pStyle w:val="a4"/>
        <w:numPr>
          <w:ilvl w:val="1"/>
          <w:numId w:val="11"/>
        </w:numPr>
        <w:tabs>
          <w:tab w:val="left" w:pos="433"/>
        </w:tabs>
        <w:spacing w:before="0" w:line="223" w:lineRule="auto"/>
        <w:ind w:left="398" w:right="38" w:hanging="283"/>
        <w:jc w:val="both"/>
        <w:rPr>
          <w:sz w:val="20"/>
        </w:rPr>
      </w:pPr>
      <w:r>
        <w:rPr>
          <w:sz w:val="20"/>
        </w:rPr>
        <w:t>促進政府及公營機構採購貨品和服務的公開招標的評核標準中加入「聘用殘疾人士」和「向聘用殘疾人士的社會企業購買服務」項目</w:t>
      </w:r>
    </w:p>
    <w:p w:rsidR="00214939" w:rsidRDefault="00214939">
      <w:pPr>
        <w:pStyle w:val="a3"/>
        <w:rPr>
          <w:rFonts w:ascii="新細明體"/>
          <w:sz w:val="13"/>
        </w:rPr>
      </w:pPr>
    </w:p>
    <w:p w:rsidR="00214939" w:rsidRDefault="00B95C6E">
      <w:pPr>
        <w:pStyle w:val="a4"/>
        <w:numPr>
          <w:ilvl w:val="1"/>
          <w:numId w:val="11"/>
        </w:numPr>
        <w:tabs>
          <w:tab w:val="left" w:pos="433"/>
        </w:tabs>
        <w:spacing w:before="1" w:line="223" w:lineRule="auto"/>
        <w:ind w:left="437" w:right="52" w:hanging="301"/>
        <w:jc w:val="both"/>
        <w:rPr>
          <w:rFonts w:ascii="Calibri" w:eastAsia="Calibri"/>
          <w:sz w:val="20"/>
        </w:rPr>
      </w:pPr>
      <w:r>
        <w:rPr>
          <w:sz w:val="20"/>
        </w:rPr>
        <w:t>延長現時各職業復康及培訓服務對殘疾人士及僱主的支援期</w:t>
      </w:r>
      <w:r>
        <w:rPr>
          <w:rFonts w:ascii="Calibri" w:eastAsia="Calibri"/>
          <w:sz w:val="20"/>
        </w:rPr>
        <w:t>(</w:t>
      </w:r>
      <w:r>
        <w:rPr>
          <w:spacing w:val="-1"/>
          <w:sz w:val="20"/>
        </w:rPr>
        <w:t xml:space="preserve">由現時 </w:t>
      </w:r>
      <w:r>
        <w:rPr>
          <w:rFonts w:ascii="Calibri" w:eastAsia="Calibri"/>
          <w:sz w:val="20"/>
        </w:rPr>
        <w:t>6</w:t>
      </w:r>
      <w:r>
        <w:rPr>
          <w:rFonts w:ascii="Calibri" w:eastAsia="Calibri"/>
          <w:spacing w:val="5"/>
          <w:sz w:val="20"/>
        </w:rPr>
        <w:t xml:space="preserve"> </w:t>
      </w:r>
      <w:r>
        <w:rPr>
          <w:spacing w:val="-1"/>
          <w:sz w:val="20"/>
        </w:rPr>
        <w:t xml:space="preserve">個月延長至 </w:t>
      </w:r>
      <w:r>
        <w:rPr>
          <w:rFonts w:ascii="Calibri" w:eastAsia="Calibri"/>
          <w:sz w:val="20"/>
        </w:rPr>
        <w:t>9</w:t>
      </w:r>
      <w:r>
        <w:rPr>
          <w:rFonts w:ascii="Calibri" w:eastAsia="Calibri"/>
          <w:spacing w:val="3"/>
          <w:sz w:val="20"/>
        </w:rPr>
        <w:t xml:space="preserve"> </w:t>
      </w:r>
      <w:r>
        <w:rPr>
          <w:spacing w:val="-1"/>
          <w:sz w:val="20"/>
        </w:rPr>
        <w:t xml:space="preserve">個月或 </w:t>
      </w:r>
      <w:r>
        <w:rPr>
          <w:rFonts w:ascii="Calibri" w:eastAsia="Calibri"/>
          <w:sz w:val="20"/>
        </w:rPr>
        <w:t>1</w:t>
      </w:r>
      <w:r>
        <w:rPr>
          <w:rFonts w:ascii="Calibri" w:eastAsia="Calibri"/>
          <w:spacing w:val="5"/>
          <w:sz w:val="20"/>
        </w:rPr>
        <w:t xml:space="preserve"> </w:t>
      </w:r>
      <w:r>
        <w:rPr>
          <w:sz w:val="20"/>
        </w:rPr>
        <w:t>年</w:t>
      </w:r>
      <w:r>
        <w:rPr>
          <w:rFonts w:ascii="Calibri" w:eastAsia="Calibri"/>
          <w:sz w:val="20"/>
        </w:rPr>
        <w:t>)</w:t>
      </w:r>
    </w:p>
    <w:p w:rsidR="00214939" w:rsidRDefault="00214939">
      <w:pPr>
        <w:pStyle w:val="a3"/>
        <w:spacing w:before="10"/>
        <w:rPr>
          <w:rFonts w:ascii="Calibri"/>
          <w:sz w:val="14"/>
        </w:rPr>
      </w:pPr>
    </w:p>
    <w:p w:rsidR="00214939" w:rsidRDefault="00B95C6E">
      <w:pPr>
        <w:pStyle w:val="a4"/>
        <w:numPr>
          <w:ilvl w:val="1"/>
          <w:numId w:val="11"/>
        </w:numPr>
        <w:tabs>
          <w:tab w:val="left" w:pos="433"/>
        </w:tabs>
        <w:spacing w:before="0" w:line="223" w:lineRule="auto"/>
        <w:ind w:left="437" w:right="50" w:hanging="301"/>
        <w:jc w:val="both"/>
        <w:rPr>
          <w:sz w:val="20"/>
        </w:rPr>
      </w:pPr>
      <w:r>
        <w:rPr>
          <w:sz w:val="20"/>
        </w:rPr>
        <w:t>統一社會福利署和勞工處各項培訓服務和就業計劃對學員和僱主的津貼模式（包括時限和金額）</w:t>
      </w:r>
    </w:p>
    <w:p w:rsidR="00214939" w:rsidRDefault="00B95C6E">
      <w:pPr>
        <w:pStyle w:val="a4"/>
        <w:numPr>
          <w:ilvl w:val="1"/>
          <w:numId w:val="11"/>
        </w:numPr>
        <w:tabs>
          <w:tab w:val="left" w:pos="419"/>
        </w:tabs>
        <w:spacing w:before="164"/>
        <w:ind w:hanging="300"/>
        <w:rPr>
          <w:sz w:val="20"/>
        </w:rPr>
      </w:pPr>
      <w:r>
        <w:rPr>
          <w:sz w:val="20"/>
        </w:rPr>
        <w:t>推動香港無障礙旅遊，帶動經濟發展及就業機會</w:t>
      </w:r>
    </w:p>
    <w:p w:rsidR="00214939" w:rsidRDefault="00B95C6E" w:rsidP="002137D6">
      <w:pPr>
        <w:pStyle w:val="a3"/>
        <w:rPr>
          <w:rFonts w:ascii="新細明體"/>
          <w:sz w:val="19"/>
        </w:rPr>
      </w:pPr>
      <w:r>
        <w:br w:type="column"/>
      </w:r>
    </w:p>
    <w:p w:rsidR="00BE4CFD" w:rsidRDefault="00BE4CFD" w:rsidP="002137D6">
      <w:pPr>
        <w:pStyle w:val="a4"/>
        <w:tabs>
          <w:tab w:val="left" w:pos="480"/>
        </w:tabs>
        <w:spacing w:before="0" w:line="273" w:lineRule="auto"/>
        <w:ind w:left="475" w:right="225" w:firstLine="0"/>
        <w:rPr>
          <w:rFonts w:asciiTheme="minorEastAsia" w:eastAsiaTheme="minorEastAsia" w:hAnsiTheme="minorEastAsia"/>
          <w:sz w:val="24"/>
          <w:lang w:eastAsia="zh-TW"/>
        </w:rPr>
      </w:pPr>
      <w:r>
        <w:rPr>
          <w:rFonts w:asciiTheme="minorEastAsia" w:eastAsiaTheme="minorEastAsia" w:hAnsiTheme="minorEastAsia" w:hint="eastAsia"/>
          <w:sz w:val="24"/>
          <w:lang w:eastAsia="zh-TW"/>
        </w:rPr>
        <w:t>永續城市</w:t>
      </w:r>
    </w:p>
    <w:p w:rsidR="002137D6" w:rsidRPr="00BE4CFD" w:rsidRDefault="002137D6" w:rsidP="002137D6">
      <w:pPr>
        <w:pStyle w:val="a4"/>
        <w:tabs>
          <w:tab w:val="left" w:pos="480"/>
        </w:tabs>
        <w:spacing w:before="0" w:line="273" w:lineRule="auto"/>
        <w:ind w:left="475" w:right="225" w:firstLine="0"/>
        <w:rPr>
          <w:rFonts w:ascii="Calibri" w:eastAsia="Calibri" w:hint="eastAsia"/>
          <w:sz w:val="24"/>
        </w:rPr>
      </w:pPr>
    </w:p>
    <w:p w:rsidR="00214939" w:rsidRDefault="00B95C6E">
      <w:pPr>
        <w:pStyle w:val="a4"/>
        <w:numPr>
          <w:ilvl w:val="1"/>
          <w:numId w:val="10"/>
        </w:numPr>
        <w:tabs>
          <w:tab w:val="left" w:pos="480"/>
        </w:tabs>
        <w:spacing w:before="0" w:line="273" w:lineRule="auto"/>
        <w:ind w:right="225" w:hanging="360"/>
        <w:rPr>
          <w:rFonts w:ascii="Calibri" w:eastAsia="Calibri"/>
          <w:sz w:val="24"/>
        </w:rPr>
      </w:pPr>
      <w:r>
        <w:rPr>
          <w:spacing w:val="-3"/>
        </w:rPr>
        <w:t>按運輸及房屋局的《公共交通策略研究》促進</w:t>
      </w:r>
      <w:r>
        <w:rPr>
          <w:spacing w:val="-1"/>
        </w:rPr>
        <w:t>無障礙運輸服務</w:t>
      </w:r>
    </w:p>
    <w:p w:rsidR="00214939" w:rsidRDefault="00B95C6E">
      <w:pPr>
        <w:pStyle w:val="a4"/>
        <w:numPr>
          <w:ilvl w:val="1"/>
          <w:numId w:val="10"/>
        </w:numPr>
        <w:tabs>
          <w:tab w:val="left" w:pos="452"/>
        </w:tabs>
        <w:spacing w:before="9"/>
        <w:ind w:left="451" w:hanging="336"/>
        <w:rPr>
          <w:rFonts w:ascii="Calibri" w:eastAsia="Calibri"/>
        </w:rPr>
      </w:pPr>
      <w:r>
        <w:rPr>
          <w:spacing w:val="-4"/>
        </w:rPr>
        <w:t xml:space="preserve">修訂《設計手冊：暢通無阻的通道 </w:t>
      </w:r>
      <w:r>
        <w:rPr>
          <w:rFonts w:ascii="Calibri" w:eastAsia="Calibri"/>
        </w:rPr>
        <w:t>2008</w:t>
      </w:r>
      <w:r>
        <w:t>》</w:t>
      </w:r>
    </w:p>
    <w:p w:rsidR="00214939" w:rsidRDefault="00B95C6E">
      <w:pPr>
        <w:pStyle w:val="a4"/>
        <w:numPr>
          <w:ilvl w:val="1"/>
          <w:numId w:val="10"/>
        </w:numPr>
        <w:tabs>
          <w:tab w:val="left" w:pos="452"/>
        </w:tabs>
        <w:spacing w:before="53"/>
        <w:ind w:left="451" w:hanging="336"/>
        <w:rPr>
          <w:rFonts w:ascii="Calibri" w:eastAsia="Calibri"/>
        </w:rPr>
      </w:pPr>
      <w:r>
        <w:rPr>
          <w:spacing w:val="-3"/>
        </w:rPr>
        <w:t>加強市民及殘疾人士對災難應變的關注和教育</w:t>
      </w:r>
    </w:p>
    <w:p w:rsidR="00214939" w:rsidRDefault="00214939">
      <w:pPr>
        <w:rPr>
          <w:rFonts w:ascii="Calibri" w:eastAsia="Calibri"/>
        </w:rPr>
        <w:sectPr w:rsidR="00214939">
          <w:type w:val="continuous"/>
          <w:pgSz w:w="11910" w:h="16840"/>
          <w:pgMar w:top="1580" w:right="260" w:bottom="280" w:left="780" w:header="720" w:footer="720" w:gutter="0"/>
          <w:cols w:num="2" w:space="720" w:equalWidth="0">
            <w:col w:w="5087" w:space="672"/>
            <w:col w:w="5111"/>
          </w:cols>
        </w:sectPr>
      </w:pPr>
    </w:p>
    <w:p w:rsidR="00214939" w:rsidRDefault="00214939">
      <w:pPr>
        <w:pStyle w:val="a3"/>
        <w:rPr>
          <w:rFonts w:ascii="新細明體"/>
          <w:sz w:val="20"/>
        </w:rPr>
      </w:pPr>
    </w:p>
    <w:p w:rsidR="00214939" w:rsidRPr="00BE4CFD" w:rsidRDefault="00214939">
      <w:pPr>
        <w:pStyle w:val="a3"/>
        <w:spacing w:before="15"/>
        <w:rPr>
          <w:rFonts w:ascii="微軟正黑體" w:eastAsiaTheme="minorEastAsia" w:hint="eastAsia"/>
          <w:b/>
          <w:sz w:val="13"/>
        </w:rPr>
      </w:pPr>
    </w:p>
    <w:p w:rsidR="00214939" w:rsidRPr="002137D6" w:rsidRDefault="00BE4CFD" w:rsidP="002137D6">
      <w:pPr>
        <w:tabs>
          <w:tab w:val="left" w:pos="589"/>
        </w:tabs>
        <w:spacing w:before="58"/>
        <w:rPr>
          <w:rFonts w:ascii="新細明體" w:eastAsia="新細明體"/>
        </w:rPr>
      </w:pPr>
      <w:r>
        <w:rPr>
          <w:rFonts w:ascii="Calibri" w:eastAsiaTheme="minorEastAsia" w:hint="eastAsia"/>
          <w:lang w:eastAsia="zh-TW"/>
        </w:rPr>
        <w:t xml:space="preserve">   </w:t>
      </w:r>
    </w:p>
    <w:p w:rsidR="00214939" w:rsidRDefault="00214939">
      <w:pPr>
        <w:pStyle w:val="a3"/>
        <w:spacing w:before="8"/>
        <w:rPr>
          <w:rFonts w:ascii="新細明體"/>
          <w:sz w:val="14"/>
        </w:rPr>
      </w:pPr>
    </w:p>
    <w:p w:rsidR="00214939" w:rsidRDefault="00B95C6E">
      <w:pPr>
        <w:spacing w:before="91"/>
        <w:ind w:right="519"/>
        <w:jc w:val="center"/>
        <w:rPr>
          <w:sz w:val="20"/>
        </w:rPr>
      </w:pPr>
      <w:r>
        <w:rPr>
          <w:w w:val="99"/>
          <w:sz w:val="20"/>
        </w:rPr>
        <w:t>2</w:t>
      </w:r>
    </w:p>
    <w:p w:rsidR="00214939" w:rsidRDefault="00214939">
      <w:pPr>
        <w:jc w:val="center"/>
        <w:rPr>
          <w:sz w:val="20"/>
        </w:rPr>
        <w:sectPr w:rsidR="00214939">
          <w:type w:val="continuous"/>
          <w:pgSz w:w="11910" w:h="16840"/>
          <w:pgMar w:top="1580" w:right="260" w:bottom="280" w:left="780" w:header="720" w:footer="720" w:gutter="0"/>
          <w:cols w:space="720"/>
        </w:sectPr>
      </w:pPr>
    </w:p>
    <w:p w:rsidR="00214939" w:rsidRDefault="00B95C6E">
      <w:pPr>
        <w:pStyle w:val="1"/>
        <w:numPr>
          <w:ilvl w:val="2"/>
          <w:numId w:val="9"/>
        </w:numPr>
        <w:tabs>
          <w:tab w:val="left" w:pos="1381"/>
        </w:tabs>
        <w:spacing w:before="26"/>
      </w:pPr>
      <w:r>
        <w:lastRenderedPageBreak/>
        <w:t>健康與福祉</w:t>
      </w:r>
    </w:p>
    <w:p w:rsidR="00214939" w:rsidRPr="00B45628" w:rsidRDefault="00214939">
      <w:pPr>
        <w:pStyle w:val="a3"/>
        <w:spacing w:before="9"/>
        <w:rPr>
          <w:rFonts w:ascii="新細明體"/>
          <w:b/>
          <w:sz w:val="21"/>
        </w:rPr>
      </w:pPr>
    </w:p>
    <w:p w:rsidR="00B45628" w:rsidRPr="00B45628" w:rsidRDefault="00B45628" w:rsidP="00B45628">
      <w:pPr>
        <w:spacing w:line="256" w:lineRule="auto"/>
        <w:ind w:left="261" w:right="297"/>
        <w:jc w:val="both"/>
        <w:rPr>
          <w:rFonts w:ascii="新細明體" w:eastAsia="新細明體"/>
          <w:b/>
          <w:sz w:val="24"/>
        </w:rPr>
      </w:pPr>
      <w:r w:rsidRPr="00B45628">
        <w:rPr>
          <w:rFonts w:ascii="新細明體" w:eastAsia="新細明體" w:hint="eastAsia"/>
          <w:sz w:val="24"/>
        </w:rPr>
        <w:t>「</w:t>
      </w:r>
      <w:r w:rsidRPr="00B45628">
        <w:rPr>
          <w:rFonts w:ascii="新細明體" w:eastAsia="新細明體" w:hint="eastAsia"/>
          <w:b/>
          <w:sz w:val="24"/>
        </w:rPr>
        <w:t>健康與福祉」的發展目標是確保不同年齡層的市民有良好的健康和福祉。其具體目標包括「通過預防、治療及促進身心健康，降低由非傳染性疾病引致的死亡情況」。</w:t>
      </w:r>
    </w:p>
    <w:p w:rsidR="00B45628" w:rsidRPr="00B45628" w:rsidRDefault="00B45628" w:rsidP="00B45628">
      <w:pPr>
        <w:spacing w:line="342" w:lineRule="exact"/>
        <w:ind w:left="3643"/>
        <w:rPr>
          <w:rFonts w:ascii="新細明體" w:eastAsia="新細明體"/>
          <w:b/>
          <w:i/>
          <w:sz w:val="25"/>
        </w:rPr>
      </w:pPr>
      <w:r w:rsidRPr="00B45628">
        <w:rPr>
          <w:rFonts w:ascii="新細明體" w:eastAsia="新細明體" w:hint="eastAsia"/>
          <w:b/>
          <w:i/>
          <w:sz w:val="25"/>
        </w:rPr>
        <w:t>聯合國可持續發展目標三</w:t>
      </w:r>
    </w:p>
    <w:p w:rsidR="00B45628" w:rsidRPr="00B45628" w:rsidRDefault="00B45628">
      <w:pPr>
        <w:pStyle w:val="3"/>
      </w:pPr>
    </w:p>
    <w:p w:rsidR="00B45628" w:rsidRDefault="00B45628">
      <w:pPr>
        <w:pStyle w:val="3"/>
      </w:pPr>
    </w:p>
    <w:p w:rsidR="00214939" w:rsidRDefault="00B95C6E">
      <w:pPr>
        <w:pStyle w:val="3"/>
      </w:pPr>
      <w:r>
        <w:t>關注重點</w:t>
      </w:r>
    </w:p>
    <w:p w:rsidR="00214939" w:rsidRDefault="00B95C6E">
      <w:pPr>
        <w:pStyle w:val="a3"/>
        <w:spacing w:before="205" w:line="256" w:lineRule="auto"/>
        <w:ind w:left="1020" w:right="1532" w:firstLine="482"/>
        <w:jc w:val="both"/>
        <w:rPr>
          <w:rFonts w:ascii="新細明體" w:eastAsia="新細明體"/>
        </w:rPr>
      </w:pPr>
      <w:r>
        <w:rPr>
          <w:rFonts w:ascii="新細明體" w:eastAsia="新細明體" w:hint="eastAsia"/>
        </w:rPr>
        <w:t>世界衛生組織指出非傳染性疾病對個人及社會的疾病負擔有明顯上升的趨</w:t>
      </w:r>
      <w:r>
        <w:rPr>
          <w:rFonts w:ascii="新細明體" w:eastAsia="新細明體" w:hint="eastAsia"/>
          <w:spacing w:val="-20"/>
        </w:rPr>
        <w:t xml:space="preserve">勢，如糖尿病和中風等；抑鬱症的病發率和死亡個案亦不斷增加。預防勝於治療， </w:t>
      </w:r>
      <w:r>
        <w:rPr>
          <w:rFonts w:ascii="新細明體" w:eastAsia="新細明體" w:hint="eastAsia"/>
          <w:spacing w:val="-18"/>
        </w:rPr>
        <w:t>對每個市民及政府來說，促進健康是一項長遠的投資，可減少患病的風險及相關</w:t>
      </w:r>
      <w:r>
        <w:rPr>
          <w:rFonts w:ascii="新細明體" w:eastAsia="新細明體" w:hint="eastAsia"/>
          <w:spacing w:val="-13"/>
        </w:rPr>
        <w:t>的影響。殘疾人士、長期病患者及長者面對疾病或殘疾的影響、與及身體機能老</w:t>
      </w:r>
      <w:r>
        <w:rPr>
          <w:rFonts w:ascii="新細明體" w:eastAsia="新細明體" w:hint="eastAsia"/>
          <w:spacing w:val="-10"/>
        </w:rPr>
        <w:t>化，他們不但需要治療和復康，更需要預防身體情況進一步變化。世界衛生組織</w:t>
      </w:r>
      <w:r>
        <w:rPr>
          <w:rFonts w:ascii="新細明體" w:eastAsia="新細明體" w:hint="eastAsia"/>
          <w:spacing w:val="-5"/>
        </w:rPr>
        <w:t xml:space="preserve">在《復康 </w:t>
      </w:r>
      <w:r>
        <w:t>2030</w:t>
      </w:r>
      <w:r>
        <w:rPr>
          <w:rFonts w:ascii="新細明體" w:eastAsia="新細明體" w:hint="eastAsia"/>
          <w:spacing w:val="-8"/>
        </w:rPr>
        <w:t xml:space="preserve">》文件中提出「復康」是 </w:t>
      </w:r>
      <w:r>
        <w:t xml:space="preserve">21 </w:t>
      </w:r>
      <w:r>
        <w:rPr>
          <w:rFonts w:ascii="新細明體" w:eastAsia="新細明體" w:hint="eastAsia"/>
        </w:rPr>
        <w:t>世紀健康的鑰匙</w:t>
      </w:r>
      <w:r>
        <w:rPr>
          <w:spacing w:val="-7"/>
          <w:vertAlign w:val="superscript"/>
        </w:rPr>
        <w:t>4</w:t>
      </w:r>
      <w:r>
        <w:rPr>
          <w:rFonts w:ascii="新細明體" w:eastAsia="新細明體" w:hint="eastAsia"/>
          <w:spacing w:val="-8"/>
        </w:rPr>
        <w:t>，亦指出「復康」在醫療系統中非常重要</w:t>
      </w:r>
      <w:r>
        <w:rPr>
          <w:spacing w:val="-8"/>
          <w:vertAlign w:val="superscript"/>
        </w:rPr>
        <w:t>5</w:t>
      </w:r>
      <w:r>
        <w:rPr>
          <w:rFonts w:ascii="新細明體" w:eastAsia="新細明體" w:hint="eastAsia"/>
          <w:spacing w:val="-8"/>
        </w:rPr>
        <w:t>。健康相關的福祉包括身心社靈的不同方面，情緒和整體的生活質素尤為重要。以下為本會在健康和福祉目標的討論和建議。</w:t>
      </w:r>
    </w:p>
    <w:p w:rsidR="00214939" w:rsidRDefault="00B95C6E">
      <w:pPr>
        <w:pStyle w:val="3"/>
        <w:spacing w:before="187"/>
      </w:pPr>
      <w:r>
        <w:t>主要挑戰</w:t>
      </w:r>
    </w:p>
    <w:p w:rsidR="00214939" w:rsidRDefault="00B95C6E">
      <w:pPr>
        <w:pStyle w:val="a3"/>
        <w:spacing w:before="205"/>
        <w:ind w:left="1500"/>
        <w:rPr>
          <w:rFonts w:ascii="新細明體" w:eastAsia="新細明體"/>
        </w:rPr>
      </w:pPr>
      <w:r>
        <w:rPr>
          <w:rFonts w:ascii="新細明體" w:eastAsia="新細明體" w:hint="eastAsia"/>
        </w:rPr>
        <w:t>香港的醫療和社會福利系統現時因人口老化、非傳染病普遍化、疾病年輕化</w:t>
      </w:r>
    </w:p>
    <w:p w:rsidR="00214939" w:rsidRDefault="00B95C6E">
      <w:pPr>
        <w:pStyle w:val="a3"/>
        <w:spacing w:before="24" w:line="256" w:lineRule="auto"/>
        <w:ind w:left="1020" w:right="1531"/>
        <w:jc w:val="both"/>
        <w:rPr>
          <w:rFonts w:ascii="新細明體" w:eastAsia="新細明體"/>
        </w:rPr>
      </w:pPr>
      <w:r>
        <w:t>(</w:t>
      </w:r>
      <w:r>
        <w:rPr>
          <w:rFonts w:ascii="新細明體" w:eastAsia="新細明體" w:hint="eastAsia"/>
        </w:rPr>
        <w:t>如中風</w:t>
      </w:r>
      <w:r>
        <w:t>)</w:t>
      </w:r>
      <w:r>
        <w:rPr>
          <w:rFonts w:ascii="新細明體" w:eastAsia="新細明體" w:hint="eastAsia"/>
          <w:spacing w:val="-6"/>
        </w:rPr>
        <w:t>等問題面對很大的衝擊，包括醫療和復康服務出現供不應求、醫護</w:t>
      </w:r>
      <w:r>
        <w:rPr>
          <w:spacing w:val="-16"/>
          <w:vertAlign w:val="superscript"/>
        </w:rPr>
        <w:t>6</w:t>
      </w:r>
      <w:r>
        <w:rPr>
          <w:rFonts w:ascii="新細明體" w:eastAsia="新細明體" w:hint="eastAsia"/>
          <w:spacing w:val="-17"/>
        </w:rPr>
        <w:t>、復</w:t>
      </w:r>
      <w:r>
        <w:rPr>
          <w:rFonts w:ascii="新細明體" w:eastAsia="新細明體" w:hint="eastAsia"/>
        </w:rPr>
        <w:t>康和照顧員</w:t>
      </w:r>
      <w:r>
        <w:rPr>
          <w:vertAlign w:val="superscript"/>
        </w:rPr>
        <w:t>7</w:t>
      </w:r>
      <w:r>
        <w:rPr>
          <w:rFonts w:ascii="新細明體" w:eastAsia="新細明體" w:hint="eastAsia"/>
        </w:rPr>
        <w:t>人手短缺、服務質素下降，醫療事故頻繁及社區支援不足。長遠來</w:t>
      </w:r>
      <w:r>
        <w:rPr>
          <w:rFonts w:ascii="新細明體" w:eastAsia="新細明體" w:hint="eastAsia"/>
          <w:spacing w:val="-11"/>
        </w:rPr>
        <w:t>說，醫療負擔不斷增加和勞動人口持續下降是香港社會在未來持續發展的艱巨挑戰。</w:t>
      </w:r>
    </w:p>
    <w:p w:rsidR="00214939" w:rsidRDefault="00B95C6E">
      <w:pPr>
        <w:pStyle w:val="a3"/>
        <w:spacing w:before="184" w:line="256" w:lineRule="auto"/>
        <w:ind w:left="1020" w:right="1532" w:firstLine="479"/>
        <w:jc w:val="both"/>
        <w:rPr>
          <w:rFonts w:ascii="新細明體" w:eastAsia="新細明體"/>
        </w:rPr>
      </w:pPr>
      <w:r>
        <w:rPr>
          <w:rFonts w:ascii="新細明體" w:eastAsia="新細明體" w:hint="eastAsia"/>
          <w:spacing w:val="-6"/>
        </w:rPr>
        <w:t>現時醫療和社會服務發揮的協同效應有限，服務出現割裂零散和資源錯配的</w:t>
      </w:r>
      <w:r>
        <w:rPr>
          <w:rFonts w:ascii="新細明體" w:eastAsia="新細明體" w:hint="eastAsia"/>
          <w:spacing w:val="-20"/>
        </w:rPr>
        <w:t>情況。就醫療系統而言，大部份的資源集中於第二層及第三層醫療，及以「治療」</w:t>
      </w:r>
      <w:r>
        <w:rPr>
          <w:rFonts w:ascii="新細明體" w:eastAsia="新細明體" w:hint="eastAsia"/>
          <w:spacing w:val="-12"/>
        </w:rPr>
        <w:t>為導向，醫療及照顧成本高企，服務需求有增無減。</w:t>
      </w:r>
      <w:r>
        <w:rPr>
          <w:rFonts w:ascii="新細明體" w:eastAsia="新細明體" w:hint="eastAsia"/>
          <w:color w:val="212121"/>
        </w:rPr>
        <w:t>然而</w:t>
      </w:r>
      <w:r>
        <w:rPr>
          <w:rFonts w:ascii="新細明體" w:eastAsia="新細明體" w:hint="eastAsia"/>
          <w:spacing w:val="-5"/>
        </w:rPr>
        <w:t>社會的資源，包括非政府機構組織轄下之社區健康</w:t>
      </w:r>
      <w:r>
        <w:rPr>
          <w:spacing w:val="-5"/>
        </w:rPr>
        <w:t>/</w:t>
      </w:r>
      <w:r>
        <w:rPr>
          <w:rFonts w:ascii="新細明體" w:eastAsia="新細明體" w:hint="eastAsia"/>
          <w:spacing w:val="-5"/>
        </w:rPr>
        <w:t>復康中心、長者中心及病人自助組織等，都尚未發揮最有效益及具持續性的協作。</w:t>
      </w:r>
    </w:p>
    <w:p w:rsidR="00214939" w:rsidRDefault="00B95C6E">
      <w:pPr>
        <w:pStyle w:val="a3"/>
        <w:spacing w:before="185" w:line="256" w:lineRule="auto"/>
        <w:ind w:left="1020" w:right="1534" w:firstLine="479"/>
        <w:jc w:val="both"/>
        <w:rPr>
          <w:rFonts w:ascii="新細明體" w:eastAsia="新細明體"/>
        </w:rPr>
      </w:pPr>
      <w:r>
        <w:rPr>
          <w:rFonts w:ascii="新細明體" w:eastAsia="新細明體" w:hint="eastAsia"/>
          <w:spacing w:val="-4"/>
        </w:rPr>
        <w:t>三成或以上長期病患者及殘疾人士同時患有情緒健康問題，如抑鬱症及焦慮</w:t>
      </w:r>
      <w:r>
        <w:rPr>
          <w:rFonts w:ascii="新細明體" w:eastAsia="新細明體" w:hint="eastAsia"/>
          <w:spacing w:val="-10"/>
        </w:rPr>
        <w:t>症等。近年長期病患者及殘疾人士的輕生數字亦不斷上升，社區中雖有精神健康</w:t>
      </w:r>
      <w:r>
        <w:rPr>
          <w:rFonts w:ascii="新細明體" w:eastAsia="新細明體" w:hint="eastAsia"/>
          <w:spacing w:val="-11"/>
        </w:rPr>
        <w:t>綜合中心等服務，醫院管理局亦推出綜合心理健康計劃</w:t>
      </w:r>
      <w:r>
        <w:rPr>
          <w:spacing w:val="-29"/>
          <w:vertAlign w:val="superscript"/>
        </w:rPr>
        <w:t>8</w:t>
      </w:r>
      <w:r>
        <w:rPr>
          <w:rFonts w:ascii="新細明體" w:eastAsia="新細明體" w:hint="eastAsia"/>
          <w:spacing w:val="-10"/>
        </w:rPr>
        <w:t>，但始終是杯水車薪，供</w:t>
      </w:r>
      <w:r>
        <w:rPr>
          <w:rFonts w:ascii="新細明體" w:eastAsia="新細明體" w:hint="eastAsia"/>
          <w:spacing w:val="-12"/>
        </w:rPr>
        <w:t>不應求。因病厭世之慘劇經常發生，近年更相繼出現腐屍和伴屍的個案，情況令人憂慮。</w:t>
      </w:r>
    </w:p>
    <w:p w:rsidR="00214939" w:rsidRDefault="00214939">
      <w:pPr>
        <w:spacing w:line="256" w:lineRule="auto"/>
        <w:jc w:val="both"/>
        <w:rPr>
          <w:rFonts w:ascii="新細明體" w:eastAsia="新細明體"/>
        </w:rPr>
        <w:sectPr w:rsidR="00214939">
          <w:footerReference w:type="default" r:id="rId10"/>
          <w:pgSz w:w="11910" w:h="16840"/>
          <w:pgMar w:top="1380" w:right="260" w:bottom="1040" w:left="780" w:header="0" w:footer="852" w:gutter="0"/>
          <w:pgNumType w:start="3"/>
          <w:cols w:space="720"/>
        </w:sectPr>
      </w:pPr>
    </w:p>
    <w:p w:rsidR="00214939" w:rsidRDefault="00B95C6E">
      <w:pPr>
        <w:pStyle w:val="a3"/>
        <w:spacing w:before="34" w:line="256" w:lineRule="auto"/>
        <w:ind w:left="1020" w:right="1533" w:firstLine="479"/>
        <w:jc w:val="both"/>
        <w:rPr>
          <w:rFonts w:ascii="新細明體" w:eastAsia="新細明體"/>
        </w:rPr>
      </w:pPr>
      <w:r>
        <w:rPr>
          <w:rFonts w:ascii="新細明體" w:eastAsia="新細明體" w:hint="eastAsia"/>
          <w:spacing w:val="-9"/>
        </w:rPr>
        <w:lastRenderedPageBreak/>
        <w:t>長者、長期病患者和殘疾人士普遍有多於一種健康問題，甚或多種慢性疾病</w:t>
      </w:r>
      <w:r>
        <w:rPr>
          <w:spacing w:val="-9"/>
        </w:rPr>
        <w:t>(Multiple</w:t>
      </w:r>
      <w:r>
        <w:rPr>
          <w:spacing w:val="-14"/>
        </w:rPr>
        <w:t xml:space="preserve"> </w:t>
      </w:r>
      <w:r>
        <w:t>co-morbidities)</w:t>
      </w:r>
      <w:r>
        <w:rPr>
          <w:spacing w:val="56"/>
        </w:rPr>
        <w:t xml:space="preserve"> </w:t>
      </w:r>
      <w:r>
        <w:rPr>
          <w:rFonts w:ascii="新細明體" w:eastAsia="新細明體" w:hint="eastAsia"/>
          <w:spacing w:val="7"/>
        </w:rPr>
        <w:t xml:space="preserve">及複雜病症 </w:t>
      </w:r>
      <w:r>
        <w:t>(complex</w:t>
      </w:r>
      <w:r>
        <w:rPr>
          <w:spacing w:val="-14"/>
        </w:rPr>
        <w:t xml:space="preserve"> </w:t>
      </w:r>
      <w:r>
        <w:t>conditions)</w:t>
      </w:r>
      <w:r>
        <w:rPr>
          <w:rFonts w:ascii="新細明體" w:eastAsia="新細明體" w:hint="eastAsia"/>
        </w:rPr>
        <w:t>。在健康管理、情緒管</w:t>
      </w:r>
      <w:r>
        <w:rPr>
          <w:rFonts w:ascii="新細明體" w:eastAsia="新細明體" w:hint="eastAsia"/>
          <w:spacing w:val="-4"/>
        </w:rPr>
        <w:t>理及起居生活等方面都較單一健康或殘疾情況難於處理。他們健康問題的複雜性</w:t>
      </w:r>
      <w:r>
        <w:rPr>
          <w:rFonts w:ascii="新細明體" w:eastAsia="新細明體" w:hint="eastAsia"/>
          <w:spacing w:val="-3"/>
        </w:rPr>
        <w:t xml:space="preserve">同時增加了醫療服務開支和照顧支援的訴求。有外國研究指出約 </w:t>
      </w:r>
      <w:r>
        <w:t>20%</w:t>
      </w:r>
      <w:r>
        <w:rPr>
          <w:rFonts w:ascii="新細明體" w:eastAsia="新細明體" w:hint="eastAsia"/>
        </w:rPr>
        <w:t>的服務使</w:t>
      </w:r>
      <w:r>
        <w:rPr>
          <w:rFonts w:ascii="新細明體" w:eastAsia="新細明體" w:hint="eastAsia"/>
          <w:spacing w:val="-51"/>
        </w:rPr>
        <w:t>用者</w:t>
      </w:r>
      <w:r>
        <w:rPr>
          <w:rFonts w:ascii="新細明體" w:eastAsia="新細明體" w:hint="eastAsia"/>
        </w:rPr>
        <w:t>（主要是有多種健康問題的人士</w:t>
      </w:r>
      <w:r>
        <w:rPr>
          <w:rFonts w:ascii="新細明體" w:eastAsia="新細明體" w:hint="eastAsia"/>
          <w:spacing w:val="-101"/>
        </w:rPr>
        <w:t>）</w:t>
      </w:r>
      <w:r>
        <w:rPr>
          <w:rFonts w:ascii="新細明體" w:eastAsia="新細明體" w:hint="eastAsia"/>
          <w:spacing w:val="-1"/>
        </w:rPr>
        <w:t xml:space="preserve">已耗用了近 </w:t>
      </w:r>
      <w:r>
        <w:t>80%</w:t>
      </w:r>
      <w:r>
        <w:rPr>
          <w:rFonts w:ascii="新細明體" w:eastAsia="新細明體" w:hint="eastAsia"/>
          <w:spacing w:val="-19"/>
        </w:rPr>
        <w:t xml:space="preserve">整體醫療資源，負擔沉重， </w:t>
      </w:r>
      <w:r>
        <w:rPr>
          <w:rFonts w:ascii="新細明體" w:eastAsia="新細明體" w:hint="eastAsia"/>
        </w:rPr>
        <w:t>亦顯示相關資源需有更有效的分配</w:t>
      </w:r>
      <w:r>
        <w:rPr>
          <w:vertAlign w:val="superscript"/>
        </w:rPr>
        <w:t>9</w:t>
      </w:r>
      <w:r>
        <w:rPr>
          <w:rFonts w:ascii="新細明體" w:eastAsia="新細明體" w:hint="eastAsia"/>
        </w:rPr>
        <w:t>。</w:t>
      </w:r>
    </w:p>
    <w:p w:rsidR="00214939" w:rsidRDefault="00B95C6E">
      <w:pPr>
        <w:pStyle w:val="3"/>
        <w:spacing w:before="185"/>
      </w:pPr>
      <w:r>
        <w:t>就上述</w:t>
      </w:r>
      <w:r>
        <w:rPr>
          <w:color w:val="212121"/>
        </w:rPr>
        <w:t>挑戰</w:t>
      </w:r>
      <w:r>
        <w:t>，本會建議：</w:t>
      </w:r>
    </w:p>
    <w:p w:rsidR="00214939" w:rsidRDefault="00B95C6E">
      <w:pPr>
        <w:pStyle w:val="a3"/>
        <w:spacing w:before="204" w:line="256" w:lineRule="auto"/>
        <w:ind w:left="1020" w:right="1478" w:firstLine="424"/>
        <w:jc w:val="both"/>
        <w:rPr>
          <w:rFonts w:ascii="新細明體" w:eastAsia="新細明體"/>
        </w:rPr>
      </w:pPr>
      <w:r>
        <w:rPr>
          <w:rFonts w:ascii="新細明體" w:eastAsia="新細明體" w:hint="eastAsia"/>
        </w:rPr>
        <w:t xml:space="preserve">投資於基層醫療服務；整合及提升非政府機構在各層醫療系統的伙伴角色， </w:t>
      </w:r>
      <w:r>
        <w:rPr>
          <w:rFonts w:ascii="新細明體" w:eastAsia="新細明體" w:hint="eastAsia"/>
          <w:spacing w:val="-6"/>
        </w:rPr>
        <w:t>協力推動具實證成效的健康推廣、疾病管理和個案管理及情緒支援等工作；長遠建構更無縫和可持續發展的醫社協同系統，以回應社會急劇變化及發展需要。</w:t>
      </w:r>
    </w:p>
    <w:p w:rsidR="00214939" w:rsidRDefault="00B95C6E">
      <w:pPr>
        <w:pStyle w:val="3"/>
        <w:numPr>
          <w:ilvl w:val="3"/>
          <w:numId w:val="9"/>
        </w:numPr>
        <w:tabs>
          <w:tab w:val="left" w:pos="1441"/>
        </w:tabs>
        <w:spacing w:before="186"/>
        <w:ind w:hanging="425"/>
        <w:jc w:val="left"/>
      </w:pPr>
      <w:r>
        <w:t>投資於基層醫療服務</w:t>
      </w:r>
    </w:p>
    <w:p w:rsidR="00214939" w:rsidRDefault="00B95C6E">
      <w:pPr>
        <w:pStyle w:val="a3"/>
        <w:spacing w:before="202" w:line="256" w:lineRule="auto"/>
        <w:ind w:left="1500" w:right="1533"/>
        <w:jc w:val="both"/>
        <w:rPr>
          <w:rFonts w:ascii="新細明體" w:eastAsia="新細明體"/>
        </w:rPr>
      </w:pPr>
      <w:r>
        <w:rPr>
          <w:rFonts w:ascii="新細明體" w:eastAsia="新細明體" w:hint="eastAsia"/>
          <w:spacing w:val="-6"/>
        </w:rPr>
        <w:t>現時醫療護理的經常性開支中，投放於醫療照顧的支出遠高於健康推廣、預</w:t>
      </w:r>
      <w:r>
        <w:rPr>
          <w:rFonts w:ascii="新細明體" w:eastAsia="新細明體" w:hint="eastAsia"/>
          <w:spacing w:val="-10"/>
        </w:rPr>
        <w:t>防、復康和紓緩服務等。不同的研究顯示，加強基層醫療和社區復康服務的</w:t>
      </w:r>
      <w:r>
        <w:rPr>
          <w:rFonts w:ascii="新細明體" w:eastAsia="新細明體" w:hint="eastAsia"/>
          <w:spacing w:val="-13"/>
        </w:rPr>
        <w:t>資源投放和運用，能有效減少整體社會對第二、三層醫療和其他社區院舍照</w:t>
      </w:r>
      <w:r>
        <w:rPr>
          <w:rFonts w:ascii="新細明體" w:eastAsia="新細明體" w:hint="eastAsia"/>
          <w:spacing w:val="-16"/>
        </w:rPr>
        <w:t>顧服務的需求和依賴。事實上，現時不少基層醫療服務計劃漸見成效，如醫</w:t>
      </w:r>
      <w:r>
        <w:rPr>
          <w:rFonts w:ascii="新細明體" w:eastAsia="新細明體" w:hint="eastAsia"/>
          <w:spacing w:val="-18"/>
        </w:rPr>
        <w:t>院管理局為糖尿病和高血壓患者服務的「病人自強計劃」</w:t>
      </w:r>
      <w:r>
        <w:rPr>
          <w:vertAlign w:val="superscript"/>
        </w:rPr>
        <w:t>10,11</w:t>
      </w:r>
      <w:r>
        <w:t xml:space="preserve"> </w:t>
      </w:r>
      <w:r>
        <w:rPr>
          <w:rFonts w:ascii="新細明體" w:eastAsia="新細明體" w:hint="eastAsia"/>
          <w:spacing w:val="-5"/>
        </w:rPr>
        <w:t>；建議政府進</w:t>
      </w:r>
      <w:r>
        <w:rPr>
          <w:rFonts w:ascii="新細明體" w:eastAsia="新細明體" w:hint="eastAsia"/>
          <w:spacing w:val="-10"/>
        </w:rPr>
        <w:t>一步把計劃由公立醫院拓展至私家診所，令有需要的病人能轉介至此服務。</w:t>
      </w:r>
    </w:p>
    <w:p w:rsidR="00214939" w:rsidRDefault="00B95C6E">
      <w:pPr>
        <w:pStyle w:val="3"/>
        <w:numPr>
          <w:ilvl w:val="3"/>
          <w:numId w:val="9"/>
        </w:numPr>
        <w:tabs>
          <w:tab w:val="left" w:pos="1302"/>
        </w:tabs>
        <w:spacing w:before="188"/>
        <w:ind w:left="1301"/>
        <w:jc w:val="left"/>
        <w:rPr>
          <w:b w:val="0"/>
        </w:rPr>
      </w:pPr>
      <w:r>
        <w:t>強化非政府機構在醫療體系和社區健康及復康的角色與功能</w:t>
      </w:r>
      <w:r>
        <w:rPr>
          <w:b w:val="0"/>
          <w:spacing w:val="-2"/>
        </w:rPr>
        <w:t>，包括</w:t>
      </w:r>
    </w:p>
    <w:p w:rsidR="00214939" w:rsidRDefault="00B95C6E">
      <w:pPr>
        <w:pStyle w:val="a4"/>
        <w:numPr>
          <w:ilvl w:val="4"/>
          <w:numId w:val="9"/>
        </w:numPr>
        <w:tabs>
          <w:tab w:val="left" w:pos="1981"/>
        </w:tabs>
        <w:spacing w:before="202" w:line="256" w:lineRule="auto"/>
        <w:ind w:right="1537"/>
        <w:jc w:val="both"/>
        <w:rPr>
          <w:sz w:val="24"/>
        </w:rPr>
      </w:pPr>
      <w:r>
        <w:rPr>
          <w:b/>
          <w:spacing w:val="-11"/>
          <w:sz w:val="24"/>
        </w:rPr>
        <w:t xml:space="preserve">推動慢性病管理／「病人自強計劃」的服務模式在第二層醫療的應用， </w:t>
      </w:r>
      <w:r>
        <w:rPr>
          <w:spacing w:val="-6"/>
          <w:sz w:val="24"/>
        </w:rPr>
        <w:t>特別是面對中度及嚴重殘疾影響的人士，如中風、心臟病、風濕病科及柏金遜症等患者；</w:t>
      </w:r>
    </w:p>
    <w:p w:rsidR="00214939" w:rsidRDefault="00B95C6E">
      <w:pPr>
        <w:pStyle w:val="3"/>
        <w:numPr>
          <w:ilvl w:val="4"/>
          <w:numId w:val="9"/>
        </w:numPr>
        <w:tabs>
          <w:tab w:val="left" w:pos="1980"/>
          <w:tab w:val="left" w:pos="1981"/>
        </w:tabs>
        <w:spacing w:before="183"/>
        <w:rPr>
          <w:b w:val="0"/>
        </w:rPr>
      </w:pPr>
      <w:r>
        <w:t>建構全面及有系統的「醫社合作」模式</w:t>
      </w:r>
      <w:r>
        <w:rPr>
          <w:b w:val="0"/>
          <w:spacing w:val="-1"/>
        </w:rPr>
        <w:t>，包括：</w:t>
      </w:r>
    </w:p>
    <w:p w:rsidR="00214939" w:rsidRDefault="00B95C6E">
      <w:pPr>
        <w:pStyle w:val="a4"/>
        <w:numPr>
          <w:ilvl w:val="5"/>
          <w:numId w:val="9"/>
        </w:numPr>
        <w:tabs>
          <w:tab w:val="left" w:pos="2460"/>
          <w:tab w:val="left" w:pos="2461"/>
        </w:tabs>
        <w:spacing w:line="256" w:lineRule="auto"/>
        <w:ind w:right="1324"/>
        <w:rPr>
          <w:sz w:val="24"/>
        </w:rPr>
      </w:pPr>
      <w:r>
        <w:rPr>
          <w:b/>
          <w:spacing w:val="-7"/>
          <w:sz w:val="24"/>
        </w:rPr>
        <w:t>加強病人離院前的轉介，達至無縫的銜接、配對及持續社區支援</w:t>
      </w:r>
      <w:r>
        <w:rPr>
          <w:sz w:val="24"/>
        </w:rPr>
        <w:t xml:space="preserve">： </w:t>
      </w:r>
      <w:r>
        <w:rPr>
          <w:spacing w:val="-7"/>
          <w:sz w:val="24"/>
        </w:rPr>
        <w:t xml:space="preserve">除了現時的離院復康支援外，進一步加強離院前銜接及配對服務， </w:t>
      </w:r>
      <w:r>
        <w:rPr>
          <w:spacing w:val="-13"/>
          <w:sz w:val="24"/>
        </w:rPr>
        <w:t xml:space="preserve">直接轉介病人到非政府機構，接受適切的社區健康及復康支援服務， </w:t>
      </w:r>
      <w:r>
        <w:rPr>
          <w:spacing w:val="-21"/>
          <w:sz w:val="24"/>
        </w:rPr>
        <w:t>促進病人復元，減少再入院的次數及住院日數，從而減少醫療開支；</w:t>
      </w:r>
    </w:p>
    <w:p w:rsidR="00214939" w:rsidRDefault="00B95C6E">
      <w:pPr>
        <w:pStyle w:val="a4"/>
        <w:numPr>
          <w:ilvl w:val="5"/>
          <w:numId w:val="9"/>
        </w:numPr>
        <w:tabs>
          <w:tab w:val="left" w:pos="2461"/>
        </w:tabs>
        <w:spacing w:before="187" w:line="256" w:lineRule="auto"/>
        <w:ind w:right="1531"/>
        <w:jc w:val="both"/>
        <w:rPr>
          <w:sz w:val="24"/>
        </w:rPr>
      </w:pPr>
      <w:r>
        <w:rPr>
          <w:b/>
          <w:spacing w:val="1"/>
          <w:sz w:val="24"/>
        </w:rPr>
        <w:t xml:space="preserve">為多種慢性疾病 </w:t>
      </w:r>
      <w:r>
        <w:rPr>
          <w:rFonts w:ascii="Times New Roman" w:eastAsia="Times New Roman"/>
          <w:b/>
          <w:sz w:val="24"/>
        </w:rPr>
        <w:t>(</w:t>
      </w:r>
      <w:r>
        <w:rPr>
          <w:b/>
          <w:sz w:val="24"/>
        </w:rPr>
        <w:t>或較複雜個案</w:t>
      </w:r>
      <w:r>
        <w:rPr>
          <w:rFonts w:ascii="Times New Roman" w:eastAsia="Times New Roman"/>
          <w:b/>
          <w:spacing w:val="10"/>
          <w:sz w:val="24"/>
        </w:rPr>
        <w:t xml:space="preserve">) </w:t>
      </w:r>
      <w:r>
        <w:rPr>
          <w:b/>
          <w:sz w:val="24"/>
        </w:rPr>
        <w:t>患者</w:t>
      </w:r>
      <w:r>
        <w:rPr>
          <w:rFonts w:ascii="Times New Roman" w:eastAsia="Times New Roman"/>
          <w:b/>
          <w:position w:val="8"/>
          <w:sz w:val="16"/>
        </w:rPr>
        <w:t>12</w:t>
      </w:r>
      <w:r>
        <w:rPr>
          <w:b/>
          <w:sz w:val="24"/>
        </w:rPr>
        <w:t>提供個案管理服務及情緒支援</w:t>
      </w:r>
      <w:r>
        <w:rPr>
          <w:sz w:val="24"/>
        </w:rPr>
        <w:t>：參考精神健康服務個案經理模式，為多種慢性疾病</w:t>
      </w:r>
      <w:r>
        <w:rPr>
          <w:rFonts w:ascii="Times New Roman" w:eastAsia="Times New Roman"/>
          <w:sz w:val="24"/>
        </w:rPr>
        <w:t>(</w:t>
      </w:r>
      <w:r>
        <w:rPr>
          <w:sz w:val="24"/>
        </w:rPr>
        <w:t>或較複雜個案</w:t>
      </w:r>
      <w:r>
        <w:rPr>
          <w:rFonts w:ascii="Times New Roman" w:eastAsia="Times New Roman"/>
          <w:sz w:val="24"/>
        </w:rPr>
        <w:t>)</w:t>
      </w:r>
      <w:r>
        <w:rPr>
          <w:sz w:val="24"/>
        </w:rPr>
        <w:t>的患者安排醫院或社區個案經理</w:t>
      </w:r>
      <w:r>
        <w:rPr>
          <w:rFonts w:ascii="Times New Roman" w:eastAsia="Times New Roman"/>
          <w:spacing w:val="-21"/>
          <w:sz w:val="24"/>
          <w:vertAlign w:val="superscript"/>
        </w:rPr>
        <w:t>13</w:t>
      </w:r>
      <w:r>
        <w:rPr>
          <w:spacing w:val="-8"/>
          <w:sz w:val="24"/>
        </w:rPr>
        <w:t>，進一步改善病人教育、</w:t>
      </w:r>
      <w:r>
        <w:rPr>
          <w:spacing w:val="-12"/>
          <w:sz w:val="24"/>
        </w:rPr>
        <w:t>社交心理支援、醫護溝通、服務統籌、自我管理、服務配對及危機</w:t>
      </w:r>
      <w:r>
        <w:rPr>
          <w:spacing w:val="-14"/>
          <w:sz w:val="24"/>
        </w:rPr>
        <w:t>管理這些方面的支援，令目前醫療和復康資源更有效地運用，亦提供更「以人為本」的服務；</w:t>
      </w:r>
    </w:p>
    <w:p w:rsidR="00214939" w:rsidRDefault="00214939">
      <w:pPr>
        <w:spacing w:line="256" w:lineRule="auto"/>
        <w:jc w:val="both"/>
        <w:rPr>
          <w:sz w:val="24"/>
        </w:rPr>
        <w:sectPr w:rsidR="00214939">
          <w:pgSz w:w="11910" w:h="16840"/>
          <w:pgMar w:top="1400" w:right="260" w:bottom="1060" w:left="780" w:header="0" w:footer="852" w:gutter="0"/>
          <w:cols w:space="720"/>
        </w:sectPr>
      </w:pPr>
    </w:p>
    <w:p w:rsidR="00214939" w:rsidRDefault="00B95C6E">
      <w:pPr>
        <w:pStyle w:val="a4"/>
        <w:numPr>
          <w:ilvl w:val="4"/>
          <w:numId w:val="9"/>
        </w:numPr>
        <w:tabs>
          <w:tab w:val="left" w:pos="1981"/>
        </w:tabs>
        <w:spacing w:before="56" w:line="256" w:lineRule="auto"/>
        <w:ind w:right="1538"/>
        <w:jc w:val="both"/>
        <w:rPr>
          <w:sz w:val="24"/>
        </w:rPr>
      </w:pPr>
      <w:r>
        <w:rPr>
          <w:b/>
          <w:spacing w:val="8"/>
          <w:sz w:val="24"/>
        </w:rPr>
        <w:lastRenderedPageBreak/>
        <w:t xml:space="preserve">加強推動 </w:t>
      </w:r>
      <w:r>
        <w:rPr>
          <w:rFonts w:ascii="Times New Roman" w:eastAsia="Times New Roman"/>
          <w:b/>
          <w:sz w:val="24"/>
        </w:rPr>
        <w:t>45</w:t>
      </w:r>
      <w:r>
        <w:rPr>
          <w:rFonts w:ascii="Times New Roman" w:eastAsia="Times New Roman"/>
          <w:b/>
          <w:spacing w:val="45"/>
          <w:sz w:val="24"/>
        </w:rPr>
        <w:t xml:space="preserve"> </w:t>
      </w:r>
      <w:r>
        <w:rPr>
          <w:b/>
          <w:sz w:val="24"/>
        </w:rPr>
        <w:t>歲以上人士預防衰老情況（</w:t>
      </w:r>
      <w:r>
        <w:rPr>
          <w:rFonts w:ascii="Times New Roman" w:eastAsia="Times New Roman"/>
          <w:b/>
          <w:sz w:val="24"/>
        </w:rPr>
        <w:t>frailty</w:t>
      </w:r>
      <w:r>
        <w:rPr>
          <w:b/>
          <w:sz w:val="24"/>
        </w:rPr>
        <w:t>）的工作</w:t>
      </w:r>
      <w:r>
        <w:rPr>
          <w:spacing w:val="-1"/>
          <w:sz w:val="24"/>
        </w:rPr>
        <w:t>，包括透過運動、健康飲食和身心健康介入</w:t>
      </w:r>
      <w:r>
        <w:rPr>
          <w:rFonts w:ascii="Times New Roman" w:eastAsia="Times New Roman"/>
          <w:spacing w:val="-1"/>
          <w:sz w:val="24"/>
          <w:vertAlign w:val="superscript"/>
        </w:rPr>
        <w:t>14</w:t>
      </w:r>
      <w:r>
        <w:rPr>
          <w:rFonts w:ascii="Times New Roman" w:eastAsia="Times New Roman"/>
          <w:spacing w:val="-1"/>
          <w:sz w:val="24"/>
        </w:rPr>
        <w:t>,</w:t>
      </w:r>
      <w:r>
        <w:rPr>
          <w:rFonts w:ascii="Times New Roman" w:eastAsia="Times New Roman"/>
          <w:spacing w:val="-1"/>
          <w:sz w:val="24"/>
          <w:vertAlign w:val="superscript"/>
        </w:rPr>
        <w:t>15</w:t>
      </w:r>
      <w:r>
        <w:rPr>
          <w:spacing w:val="-3"/>
          <w:sz w:val="24"/>
        </w:rPr>
        <w:t>，減慢這些較高風險人士的衰老過程</w:t>
      </w:r>
    </w:p>
    <w:p w:rsidR="00214939" w:rsidRDefault="00B95C6E">
      <w:pPr>
        <w:pStyle w:val="a3"/>
        <w:spacing w:line="335" w:lineRule="exact"/>
        <w:ind w:left="1980"/>
        <w:rPr>
          <w:rFonts w:ascii="新細明體" w:eastAsia="新細明體"/>
        </w:rPr>
      </w:pPr>
      <w:r>
        <w:rPr>
          <w:position w:val="9"/>
          <w:sz w:val="16"/>
        </w:rPr>
        <w:t>16</w:t>
      </w:r>
      <w:r>
        <w:rPr>
          <w:rFonts w:ascii="新細明體" w:eastAsia="新細明體" w:hint="eastAsia"/>
        </w:rPr>
        <w:t>，從而減少他們日後對醫療及服務的需求；</w:t>
      </w:r>
    </w:p>
    <w:p w:rsidR="00214939" w:rsidRDefault="00B95C6E">
      <w:pPr>
        <w:pStyle w:val="a4"/>
        <w:numPr>
          <w:ilvl w:val="4"/>
          <w:numId w:val="9"/>
        </w:numPr>
        <w:tabs>
          <w:tab w:val="left" w:pos="1981"/>
        </w:tabs>
        <w:spacing w:line="256" w:lineRule="auto"/>
        <w:ind w:right="1533"/>
        <w:jc w:val="both"/>
        <w:rPr>
          <w:sz w:val="24"/>
        </w:rPr>
      </w:pPr>
      <w:r>
        <w:rPr>
          <w:b/>
          <w:spacing w:val="-11"/>
          <w:sz w:val="24"/>
        </w:rPr>
        <w:t>拓展紓緩服務，為居於家中和安老院舍的末期病人提供晚期醫護和照顧服務</w:t>
      </w:r>
      <w:r>
        <w:rPr>
          <w:rFonts w:ascii="Times New Roman" w:eastAsia="Times New Roman"/>
          <w:spacing w:val="-25"/>
          <w:sz w:val="24"/>
          <w:vertAlign w:val="superscript"/>
        </w:rPr>
        <w:t>17</w:t>
      </w:r>
      <w:r>
        <w:rPr>
          <w:spacing w:val="-17"/>
          <w:sz w:val="24"/>
        </w:rPr>
        <w:t>。這可以為病人及家屬提供選擇，亦可減輕住院的醫療服務開支；</w:t>
      </w:r>
    </w:p>
    <w:p w:rsidR="00214939" w:rsidRDefault="00B95C6E">
      <w:pPr>
        <w:pStyle w:val="a4"/>
        <w:numPr>
          <w:ilvl w:val="4"/>
          <w:numId w:val="9"/>
        </w:numPr>
        <w:tabs>
          <w:tab w:val="left" w:pos="1980"/>
          <w:tab w:val="left" w:pos="1981"/>
        </w:tabs>
        <w:spacing w:before="182"/>
        <w:rPr>
          <w:sz w:val="24"/>
        </w:rPr>
      </w:pPr>
      <w:r>
        <w:rPr>
          <w:b/>
          <w:sz w:val="24"/>
        </w:rPr>
        <w:t>培訓不同社區醫療護理和復康工作人員</w:t>
      </w:r>
      <w:r>
        <w:rPr>
          <w:rFonts w:ascii="Times New Roman" w:eastAsia="Times New Roman"/>
          <w:sz w:val="24"/>
          <w:vertAlign w:val="superscript"/>
        </w:rPr>
        <w:t>18</w:t>
      </w:r>
      <w:r>
        <w:rPr>
          <w:rFonts w:ascii="Times New Roman" w:eastAsia="Times New Roman"/>
          <w:sz w:val="24"/>
        </w:rPr>
        <w:t>,</w:t>
      </w:r>
      <w:r>
        <w:rPr>
          <w:rFonts w:ascii="Times New Roman" w:eastAsia="Times New Roman"/>
          <w:sz w:val="24"/>
          <w:vertAlign w:val="superscript"/>
        </w:rPr>
        <w:t>19</w:t>
      </w:r>
      <w:r>
        <w:rPr>
          <w:sz w:val="24"/>
        </w:rPr>
        <w:t>，解決業界人手不足問題；</w:t>
      </w:r>
    </w:p>
    <w:p w:rsidR="00214939" w:rsidRDefault="00B95C6E">
      <w:pPr>
        <w:pStyle w:val="a4"/>
        <w:numPr>
          <w:ilvl w:val="4"/>
          <w:numId w:val="9"/>
        </w:numPr>
        <w:tabs>
          <w:tab w:val="left" w:pos="1981"/>
        </w:tabs>
        <w:spacing w:before="205" w:line="256" w:lineRule="auto"/>
        <w:ind w:right="1536"/>
        <w:jc w:val="both"/>
        <w:rPr>
          <w:sz w:val="24"/>
        </w:rPr>
      </w:pPr>
      <w:r>
        <w:rPr>
          <w:b/>
          <w:spacing w:val="-9"/>
          <w:sz w:val="24"/>
        </w:rPr>
        <w:t>推動探討《國際殘疾、功能和健康分類》的應用</w:t>
      </w:r>
      <w:r>
        <w:rPr>
          <w:spacing w:val="-3"/>
          <w:sz w:val="24"/>
        </w:rPr>
        <w:t>，設計和制定醫療和復</w:t>
      </w:r>
      <w:r>
        <w:rPr>
          <w:spacing w:val="-9"/>
          <w:sz w:val="24"/>
        </w:rPr>
        <w:t>康服務時考慮服務使用者身體、活動和參與及環境因素的影響，運用更有效介入手法，長遠達至更高的服務成效及成本效益。</w:t>
      </w:r>
    </w:p>
    <w:p w:rsidR="00214939" w:rsidRDefault="00B95C6E">
      <w:pPr>
        <w:pStyle w:val="3"/>
        <w:numPr>
          <w:ilvl w:val="3"/>
          <w:numId w:val="9"/>
        </w:numPr>
        <w:tabs>
          <w:tab w:val="left" w:pos="1381"/>
        </w:tabs>
        <w:spacing w:before="185"/>
        <w:ind w:left="1380" w:hanging="360"/>
        <w:jc w:val="left"/>
        <w:rPr>
          <w:b w:val="0"/>
        </w:rPr>
      </w:pPr>
      <w:r>
        <w:rPr>
          <w:spacing w:val="-8"/>
        </w:rPr>
        <w:t>加強「用者參與」及「持份者參與」</w:t>
      </w:r>
      <w:r>
        <w:rPr>
          <w:b w:val="0"/>
          <w:spacing w:val="-2"/>
        </w:rPr>
        <w:t>，包括：</w:t>
      </w:r>
    </w:p>
    <w:p w:rsidR="00214939" w:rsidRDefault="00B95C6E">
      <w:pPr>
        <w:pStyle w:val="a4"/>
        <w:numPr>
          <w:ilvl w:val="4"/>
          <w:numId w:val="9"/>
        </w:numPr>
        <w:tabs>
          <w:tab w:val="left" w:pos="1981"/>
        </w:tabs>
        <w:spacing w:before="202" w:line="256" w:lineRule="auto"/>
        <w:ind w:right="1535"/>
        <w:jc w:val="both"/>
        <w:rPr>
          <w:sz w:val="24"/>
        </w:rPr>
      </w:pPr>
      <w:r>
        <w:rPr>
          <w:spacing w:val="-6"/>
          <w:sz w:val="24"/>
        </w:rPr>
        <w:t>在合適的醫護和復康服務拓展「朋輩工作員」，以過來人的經驗協助病</w:t>
      </w:r>
      <w:r>
        <w:rPr>
          <w:spacing w:val="-6"/>
          <w:position w:val="-8"/>
          <w:sz w:val="24"/>
        </w:rPr>
        <w:t>人</w:t>
      </w:r>
      <w:r>
        <w:rPr>
          <w:rFonts w:ascii="Times New Roman" w:eastAsia="Times New Roman"/>
          <w:spacing w:val="-6"/>
          <w:sz w:val="16"/>
        </w:rPr>
        <w:t>20,21</w:t>
      </w:r>
      <w:r>
        <w:rPr>
          <w:spacing w:val="-6"/>
          <w:position w:val="-8"/>
          <w:sz w:val="24"/>
        </w:rPr>
        <w:t>；</w:t>
      </w:r>
    </w:p>
    <w:p w:rsidR="00214939" w:rsidRDefault="00B95C6E">
      <w:pPr>
        <w:pStyle w:val="a4"/>
        <w:numPr>
          <w:ilvl w:val="4"/>
          <w:numId w:val="9"/>
        </w:numPr>
        <w:tabs>
          <w:tab w:val="left" w:pos="1981"/>
        </w:tabs>
        <w:spacing w:before="182" w:line="256" w:lineRule="auto"/>
        <w:ind w:right="1533"/>
        <w:jc w:val="both"/>
        <w:rPr>
          <w:sz w:val="24"/>
        </w:rPr>
      </w:pPr>
      <w:r>
        <w:rPr>
          <w:spacing w:val="-9"/>
          <w:sz w:val="24"/>
        </w:rPr>
        <w:t>增撥資源協助病人、殘疾人士，及其家屬之自助組織發展，進一步發揮他們在醫療服務及社區復康服務中的重要角色。</w:t>
      </w:r>
    </w:p>
    <w:p w:rsidR="00214939" w:rsidRDefault="00B95C6E">
      <w:pPr>
        <w:pStyle w:val="a4"/>
        <w:numPr>
          <w:ilvl w:val="3"/>
          <w:numId w:val="9"/>
        </w:numPr>
        <w:tabs>
          <w:tab w:val="left" w:pos="1441"/>
        </w:tabs>
        <w:spacing w:before="184" w:line="256" w:lineRule="auto"/>
        <w:ind w:right="1535" w:hanging="425"/>
        <w:jc w:val="both"/>
        <w:rPr>
          <w:sz w:val="24"/>
        </w:rPr>
      </w:pPr>
      <w:r>
        <w:rPr>
          <w:b/>
          <w:spacing w:val="-3"/>
          <w:sz w:val="24"/>
        </w:rPr>
        <w:t>推動復康和照顧的科技產品的創新和應用，並鼓勵科研公司與醫療和社福機</w:t>
      </w:r>
      <w:r>
        <w:rPr>
          <w:b/>
          <w:spacing w:val="-7"/>
          <w:sz w:val="24"/>
        </w:rPr>
        <w:t>構合作，</w:t>
      </w:r>
      <w:r>
        <w:rPr>
          <w:spacing w:val="-3"/>
          <w:sz w:val="24"/>
        </w:rPr>
        <w:t>研發有利服務使用者獨立生活和提升生活質素的產品和服務，長遠紓緩復康和社區照顧服務人手短缺的問題。</w:t>
      </w:r>
    </w:p>
    <w:p w:rsidR="00214939" w:rsidRDefault="00B95C6E">
      <w:pPr>
        <w:pStyle w:val="a4"/>
        <w:numPr>
          <w:ilvl w:val="3"/>
          <w:numId w:val="9"/>
        </w:numPr>
        <w:tabs>
          <w:tab w:val="left" w:pos="1441"/>
        </w:tabs>
        <w:spacing w:before="183" w:line="256" w:lineRule="auto"/>
        <w:ind w:right="1536" w:hanging="425"/>
        <w:jc w:val="both"/>
        <w:rPr>
          <w:sz w:val="24"/>
        </w:rPr>
      </w:pPr>
      <w:r>
        <w:rPr>
          <w:b/>
          <w:spacing w:val="-5"/>
          <w:sz w:val="24"/>
        </w:rPr>
        <w:t>加強跨政策局、跨部門及跨界別的協作和溝通討論</w:t>
      </w:r>
      <w:r>
        <w:rPr>
          <w:spacing w:val="-3"/>
          <w:sz w:val="24"/>
        </w:rPr>
        <w:t>。政務司司長張建宗先生</w:t>
      </w:r>
      <w:r>
        <w:rPr>
          <w:sz w:val="24"/>
        </w:rPr>
        <w:t xml:space="preserve">於本年 </w:t>
      </w:r>
      <w:r>
        <w:rPr>
          <w:rFonts w:ascii="Times New Roman" w:eastAsia="Times New Roman"/>
          <w:sz w:val="24"/>
        </w:rPr>
        <w:t>8</w:t>
      </w:r>
      <w:r>
        <w:rPr>
          <w:rFonts w:ascii="Times New Roman" w:eastAsia="Times New Roman"/>
          <w:spacing w:val="18"/>
          <w:sz w:val="24"/>
        </w:rPr>
        <w:t xml:space="preserve"> </w:t>
      </w:r>
      <w:r>
        <w:rPr>
          <w:spacing w:val="7"/>
          <w:sz w:val="24"/>
        </w:rPr>
        <w:t xml:space="preserve">月 </w:t>
      </w:r>
      <w:r>
        <w:rPr>
          <w:rFonts w:ascii="Times New Roman" w:eastAsia="Times New Roman"/>
          <w:sz w:val="24"/>
        </w:rPr>
        <w:t>16</w:t>
      </w:r>
      <w:r>
        <w:rPr>
          <w:rFonts w:ascii="Times New Roman" w:eastAsia="Times New Roman"/>
          <w:spacing w:val="18"/>
          <w:sz w:val="24"/>
        </w:rPr>
        <w:t xml:space="preserve"> </w:t>
      </w:r>
      <w:r>
        <w:rPr>
          <w:sz w:val="24"/>
        </w:rPr>
        <w:t>日舉行的施政報告與社福界諮詢會中承諾，每年召開「復康高峰會</w:t>
      </w:r>
      <w:r>
        <w:rPr>
          <w:spacing w:val="-18"/>
          <w:sz w:val="24"/>
        </w:rPr>
        <w:t>」，讓相關政策局跟業界及服務使用者會面和保持溝通，共同參與優化施政。</w:t>
      </w:r>
    </w:p>
    <w:p w:rsidR="00214939" w:rsidRDefault="00B95C6E">
      <w:pPr>
        <w:pStyle w:val="3"/>
        <w:numPr>
          <w:ilvl w:val="3"/>
          <w:numId w:val="9"/>
        </w:numPr>
        <w:tabs>
          <w:tab w:val="left" w:pos="1441"/>
        </w:tabs>
        <w:spacing w:before="184"/>
        <w:ind w:hanging="425"/>
        <w:jc w:val="left"/>
        <w:rPr>
          <w:b w:val="0"/>
        </w:rPr>
      </w:pPr>
      <w:r>
        <w:t>跟進現時醫療、復康和長者相關政策和服務</w:t>
      </w:r>
      <w:r>
        <w:rPr>
          <w:b w:val="0"/>
        </w:rPr>
        <w:t>，包括：</w:t>
      </w:r>
    </w:p>
    <w:p w:rsidR="00214939" w:rsidRDefault="00B95C6E">
      <w:pPr>
        <w:pStyle w:val="a4"/>
        <w:numPr>
          <w:ilvl w:val="4"/>
          <w:numId w:val="9"/>
        </w:numPr>
        <w:tabs>
          <w:tab w:val="left" w:pos="2013"/>
          <w:tab w:val="left" w:pos="2014"/>
        </w:tabs>
        <w:spacing w:before="178"/>
        <w:ind w:left="2014"/>
        <w:rPr>
          <w:sz w:val="24"/>
        </w:rPr>
      </w:pPr>
      <w:r>
        <w:rPr>
          <w:spacing w:val="-14"/>
          <w:sz w:val="24"/>
        </w:rPr>
        <w:t>盡快及全面檢討《香港康復計劃方案》</w:t>
      </w:r>
      <w:r>
        <w:rPr>
          <w:rFonts w:ascii="Times New Roman" w:eastAsia="Times New Roman"/>
          <w:spacing w:val="-27"/>
          <w:sz w:val="24"/>
          <w:vertAlign w:val="superscript"/>
        </w:rPr>
        <w:t>22</w:t>
      </w:r>
      <w:r>
        <w:rPr>
          <w:spacing w:val="-9"/>
          <w:sz w:val="24"/>
        </w:rPr>
        <w:t>，特別回應服務和人手的規劃；</w:t>
      </w:r>
    </w:p>
    <w:p w:rsidR="00214939" w:rsidRDefault="00B95C6E">
      <w:pPr>
        <w:pStyle w:val="a4"/>
        <w:numPr>
          <w:ilvl w:val="4"/>
          <w:numId w:val="9"/>
        </w:numPr>
        <w:tabs>
          <w:tab w:val="left" w:pos="2014"/>
        </w:tabs>
        <w:spacing w:before="173" w:line="223" w:lineRule="auto"/>
        <w:ind w:left="2014" w:right="1536"/>
        <w:jc w:val="both"/>
        <w:rPr>
          <w:sz w:val="24"/>
        </w:rPr>
      </w:pPr>
      <w:r>
        <w:rPr>
          <w:spacing w:val="-22"/>
          <w:sz w:val="24"/>
        </w:rPr>
        <w:t>重新向立法會提交修訂《醫生註冊條例》草案，加快醫療事故處理程序， 監管投訴機制的運作，並加入病人或家屬代表；</w:t>
      </w:r>
    </w:p>
    <w:p w:rsidR="00214939" w:rsidRDefault="00B95C6E">
      <w:pPr>
        <w:pStyle w:val="a4"/>
        <w:numPr>
          <w:ilvl w:val="4"/>
          <w:numId w:val="9"/>
        </w:numPr>
        <w:tabs>
          <w:tab w:val="left" w:pos="2014"/>
        </w:tabs>
        <w:spacing w:before="180" w:line="223" w:lineRule="auto"/>
        <w:ind w:left="2014" w:right="1536"/>
        <w:jc w:val="both"/>
        <w:rPr>
          <w:sz w:val="24"/>
        </w:rPr>
      </w:pPr>
      <w:r>
        <w:rPr>
          <w:spacing w:val="-4"/>
          <w:sz w:val="24"/>
        </w:rPr>
        <w:t xml:space="preserve">跟進修訂「傷殘津貼」的醫療評估表格，刪除「喪失 </w:t>
      </w:r>
      <w:r>
        <w:rPr>
          <w:rFonts w:ascii="Times New Roman" w:eastAsia="Times New Roman"/>
          <w:sz w:val="24"/>
        </w:rPr>
        <w:t>100%</w:t>
      </w:r>
      <w:r>
        <w:rPr>
          <w:sz w:val="24"/>
        </w:rPr>
        <w:t>賺取收入能力」的條款；</w:t>
      </w:r>
    </w:p>
    <w:p w:rsidR="00214939" w:rsidRDefault="00B95C6E">
      <w:pPr>
        <w:pStyle w:val="a4"/>
        <w:numPr>
          <w:ilvl w:val="4"/>
          <w:numId w:val="9"/>
        </w:numPr>
        <w:tabs>
          <w:tab w:val="left" w:pos="2014"/>
        </w:tabs>
        <w:spacing w:before="180" w:line="223" w:lineRule="auto"/>
        <w:ind w:left="2014" w:right="1536"/>
        <w:jc w:val="both"/>
        <w:rPr>
          <w:sz w:val="24"/>
        </w:rPr>
      </w:pPr>
      <w:r>
        <w:rPr>
          <w:spacing w:val="-8"/>
          <w:sz w:val="24"/>
        </w:rPr>
        <w:t>其他：落實跟進《安老服務計劃方案》、恆常化照顧者津貼、關注參與</w:t>
      </w:r>
      <w:r>
        <w:rPr>
          <w:spacing w:val="-9"/>
          <w:sz w:val="24"/>
        </w:rPr>
        <w:t xml:space="preserve">廣東計劃之香港長者於國內就醫、改善長者及殘疾人士服務院舍質素， </w:t>
      </w:r>
      <w:r>
        <w:rPr>
          <w:spacing w:val="-8"/>
          <w:sz w:val="24"/>
        </w:rPr>
        <w:t xml:space="preserve">與檢討 </w:t>
      </w:r>
      <w:r>
        <w:rPr>
          <w:rFonts w:ascii="Times New Roman" w:eastAsia="Times New Roman"/>
          <w:sz w:val="24"/>
        </w:rPr>
        <w:t xml:space="preserve">60 </w:t>
      </w:r>
      <w:r>
        <w:rPr>
          <w:sz w:val="24"/>
        </w:rPr>
        <w:t>歲以下人士未能申請院舍等問題。</w:t>
      </w:r>
    </w:p>
    <w:p w:rsidR="00214939" w:rsidRDefault="00B95C6E">
      <w:pPr>
        <w:pStyle w:val="a3"/>
        <w:spacing w:before="189" w:line="256" w:lineRule="auto"/>
        <w:ind w:left="1020" w:right="1536" w:firstLine="479"/>
        <w:rPr>
          <w:rFonts w:ascii="新細明體" w:eastAsia="新細明體"/>
        </w:rPr>
      </w:pPr>
      <w:r>
        <w:rPr>
          <w:rFonts w:ascii="新細明體" w:eastAsia="新細明體" w:hint="eastAsia"/>
          <w:spacing w:val="-10"/>
        </w:rPr>
        <w:t>小結：為提升本港市民的健康和福祉，政府需投資於基層醫療及強化非政府</w:t>
      </w:r>
      <w:r>
        <w:rPr>
          <w:rFonts w:ascii="新細明體" w:eastAsia="新細明體" w:hint="eastAsia"/>
          <w:spacing w:val="-14"/>
        </w:rPr>
        <w:t>機構在醫療體系和社區健康及復康的角色與功能，加強跨政策局、跨部門及跨界</w:t>
      </w:r>
    </w:p>
    <w:p w:rsidR="00214939" w:rsidRDefault="00214939">
      <w:pPr>
        <w:spacing w:line="256" w:lineRule="auto"/>
        <w:rPr>
          <w:rFonts w:ascii="新細明體" w:eastAsia="新細明體"/>
        </w:rPr>
        <w:sectPr w:rsidR="00214939">
          <w:pgSz w:w="11910" w:h="16840"/>
          <w:pgMar w:top="1380" w:right="260" w:bottom="1060" w:left="780" w:header="0" w:footer="852" w:gutter="0"/>
          <w:cols w:space="720"/>
        </w:sectPr>
      </w:pPr>
    </w:p>
    <w:p w:rsidR="00214939" w:rsidRDefault="00B95C6E">
      <w:pPr>
        <w:pStyle w:val="a3"/>
        <w:spacing w:before="34"/>
        <w:ind w:left="1020"/>
        <w:rPr>
          <w:rFonts w:ascii="新細明體" w:eastAsia="新細明體"/>
        </w:rPr>
      </w:pPr>
      <w:r>
        <w:rPr>
          <w:rFonts w:ascii="新細明體" w:eastAsia="新細明體" w:hint="eastAsia"/>
        </w:rPr>
        <w:lastRenderedPageBreak/>
        <w:t>別的協作和溝通討論，與及跟進現時醫療、復康和長者相關政策和服務。</w:t>
      </w:r>
    </w:p>
    <w:p w:rsidR="00214939" w:rsidRDefault="00214939">
      <w:pPr>
        <w:pStyle w:val="a3"/>
        <w:spacing w:before="9"/>
        <w:rPr>
          <w:rFonts w:ascii="新細明體"/>
          <w:sz w:val="25"/>
        </w:rPr>
      </w:pPr>
    </w:p>
    <w:p w:rsidR="00214939" w:rsidRDefault="00B95C6E">
      <w:pPr>
        <w:pStyle w:val="1"/>
      </w:pPr>
      <w:r>
        <w:t>（</w:t>
      </w:r>
      <w:r>
        <w:rPr>
          <w:rFonts w:ascii="Times New Roman" w:eastAsia="Times New Roman"/>
        </w:rPr>
        <w:t>2</w:t>
      </w:r>
      <w:r>
        <w:t>）就業與經濟成長</w:t>
      </w:r>
    </w:p>
    <w:p w:rsidR="00B45628" w:rsidRDefault="00B45628">
      <w:pPr>
        <w:pStyle w:val="1"/>
      </w:pPr>
    </w:p>
    <w:p w:rsidR="00B45628" w:rsidRDefault="00B45628" w:rsidP="00B45628">
      <w:pPr>
        <w:pStyle w:val="1"/>
      </w:pPr>
    </w:p>
    <w:p w:rsidR="00B45628" w:rsidRPr="00B45628" w:rsidRDefault="00B45628" w:rsidP="00B45628">
      <w:pPr>
        <w:pStyle w:val="1"/>
        <w:rPr>
          <w:b w:val="0"/>
          <w:sz w:val="24"/>
          <w:szCs w:val="24"/>
        </w:rPr>
      </w:pPr>
      <w:r w:rsidRPr="00B45628">
        <w:rPr>
          <w:rFonts w:hint="eastAsia"/>
          <w:b w:val="0"/>
          <w:sz w:val="24"/>
          <w:szCs w:val="24"/>
        </w:rPr>
        <w:t>就業與經濟成長的目標是「促進持久、包容和可持續的經濟增長，同時促進充分和生產性就業，人人獲得體面工作」。其具體目標包括「所有男女，包括青年和殘疾人實現充分和生產性就業，有體面工作，並做到同工同酬」和「制定和執行推廣可持續旅遊的政策，以創造就業機會、促進地方文化和相關產業」。</w:t>
      </w:r>
    </w:p>
    <w:p w:rsidR="00B45628" w:rsidRPr="00B45628" w:rsidRDefault="00B45628" w:rsidP="00B45628">
      <w:pPr>
        <w:pStyle w:val="1"/>
        <w:jc w:val="right"/>
        <w:rPr>
          <w:rFonts w:hint="eastAsia"/>
          <w:b w:val="0"/>
          <w:sz w:val="24"/>
          <w:szCs w:val="24"/>
        </w:rPr>
      </w:pPr>
      <w:r w:rsidRPr="00B45628">
        <w:rPr>
          <w:rFonts w:hint="eastAsia"/>
          <w:b w:val="0"/>
          <w:sz w:val="24"/>
          <w:szCs w:val="24"/>
        </w:rPr>
        <w:t>聯合國可持續發展目標八</w:t>
      </w:r>
    </w:p>
    <w:p w:rsidR="00214939" w:rsidRDefault="00214939">
      <w:pPr>
        <w:pStyle w:val="a3"/>
        <w:spacing w:before="2"/>
        <w:rPr>
          <w:rFonts w:ascii="新細明體"/>
          <w:b/>
          <w:sz w:val="9"/>
        </w:rPr>
      </w:pPr>
    </w:p>
    <w:p w:rsidR="00214939" w:rsidRDefault="00B95C6E">
      <w:pPr>
        <w:pStyle w:val="3"/>
        <w:spacing w:before="162"/>
      </w:pPr>
      <w:r>
        <w:t>關注重點</w:t>
      </w:r>
    </w:p>
    <w:p w:rsidR="00214939" w:rsidRDefault="00B95C6E">
      <w:pPr>
        <w:pStyle w:val="a3"/>
        <w:spacing w:before="204" w:line="256" w:lineRule="auto"/>
        <w:ind w:left="1020" w:right="1536" w:firstLine="479"/>
        <w:jc w:val="both"/>
        <w:rPr>
          <w:rFonts w:ascii="新細明體" w:eastAsia="新細明體"/>
        </w:rPr>
      </w:pPr>
      <w:r>
        <w:rPr>
          <w:rFonts w:ascii="新細明體" w:eastAsia="新細明體" w:hint="eastAsia"/>
          <w:spacing w:val="-6"/>
        </w:rPr>
        <w:t>充份的就業機會除了提升個人的生產力，貢獻社會，亦會促進社會流動和整</w:t>
      </w:r>
      <w:r>
        <w:rPr>
          <w:rFonts w:ascii="新細明體" w:eastAsia="新細明體" w:hint="eastAsia"/>
          <w:spacing w:val="-12"/>
        </w:rPr>
        <w:t>體社會的經濟效益。旅遊業是香港的主要經濟支柱之一，它的成功有利帶動社會</w:t>
      </w:r>
      <w:r>
        <w:rPr>
          <w:rFonts w:ascii="新細明體" w:eastAsia="新細明體" w:hint="eastAsia"/>
          <w:spacing w:val="-15"/>
        </w:rPr>
        <w:t>經濟及創造更多的就業機會。此章討論不同措施如何促進殘疾人士及市民的社會資本、探討「無障礙旅遊業」發展，以帶動本港的經濟增長及創造就業機會。</w:t>
      </w:r>
    </w:p>
    <w:p w:rsidR="00214939" w:rsidRDefault="00B95C6E">
      <w:pPr>
        <w:pStyle w:val="3"/>
        <w:spacing w:before="184"/>
      </w:pPr>
      <w:r>
        <w:t>主要挑戰</w:t>
      </w:r>
    </w:p>
    <w:p w:rsidR="00214939" w:rsidRDefault="00B95C6E">
      <w:pPr>
        <w:pStyle w:val="a3"/>
        <w:spacing w:before="204" w:line="256" w:lineRule="auto"/>
        <w:ind w:left="1020" w:right="1533" w:firstLine="479"/>
        <w:jc w:val="both"/>
        <w:rPr>
          <w:rFonts w:ascii="新細明體" w:eastAsia="新細明體"/>
        </w:rPr>
      </w:pPr>
      <w:r>
        <w:rPr>
          <w:rFonts w:ascii="新細明體" w:eastAsia="新細明體" w:hint="eastAsia"/>
          <w:spacing w:val="-1"/>
        </w:rPr>
        <w:t xml:space="preserve">香港殘疾人士的失業率為 </w:t>
      </w:r>
      <w:r>
        <w:rPr>
          <w:spacing w:val="-7"/>
        </w:rPr>
        <w:t>6%</w:t>
      </w:r>
      <w:r>
        <w:rPr>
          <w:spacing w:val="-7"/>
          <w:position w:val="9"/>
          <w:sz w:val="16"/>
        </w:rPr>
        <w:t>23</w:t>
      </w:r>
      <w:r>
        <w:rPr>
          <w:rFonts w:ascii="新細明體" w:eastAsia="新細明體" w:hint="eastAsia"/>
          <w:spacing w:val="-3"/>
        </w:rPr>
        <w:t xml:space="preserve">，而殘疾人士於 </w:t>
      </w:r>
      <w:r>
        <w:t xml:space="preserve">2013 </w:t>
      </w:r>
      <w:r>
        <w:rPr>
          <w:rFonts w:ascii="新細明體" w:eastAsia="新細明體" w:hint="eastAsia"/>
        </w:rPr>
        <w:t>年的貧窮率分別為政策</w:t>
      </w:r>
      <w:r>
        <w:rPr>
          <w:rFonts w:ascii="新細明體" w:eastAsia="新細明體" w:hint="eastAsia"/>
          <w:spacing w:val="5"/>
        </w:rPr>
        <w:t xml:space="preserve">介入前的 </w:t>
      </w:r>
      <w:r>
        <w:t>45.3%</w:t>
      </w:r>
      <w:r>
        <w:rPr>
          <w:rFonts w:ascii="新細明體" w:eastAsia="新細明體" w:hint="eastAsia"/>
          <w:spacing w:val="5"/>
        </w:rPr>
        <w:t xml:space="preserve">及介入後的 </w:t>
      </w:r>
      <w:r>
        <w:t>29.5%</w:t>
      </w:r>
      <w:r>
        <w:rPr>
          <w:position w:val="9"/>
          <w:sz w:val="16"/>
        </w:rPr>
        <w:t>24</w:t>
      </w:r>
      <w:r>
        <w:rPr>
          <w:rFonts w:ascii="新細明體" w:eastAsia="新細明體" w:hint="eastAsia"/>
        </w:rPr>
        <w:t>。政府雖有一系列措施鼓勵殘疾人士就業和僱主聘請他們</w:t>
      </w:r>
      <w:r>
        <w:rPr>
          <w:vertAlign w:val="superscript"/>
        </w:rPr>
        <w:t>25</w:t>
      </w:r>
      <w:r>
        <w:rPr>
          <w:rFonts w:ascii="新細明體" w:eastAsia="新細明體" w:hint="eastAsia"/>
          <w:spacing w:val="-3"/>
        </w:rPr>
        <w:t>，但成效仍有待改善。現時社會福利署和勞工處的殘疾人士就業</w:t>
      </w:r>
      <w:r>
        <w:rPr>
          <w:rFonts w:ascii="新細明體" w:eastAsia="新細明體" w:hint="eastAsia"/>
          <w:spacing w:val="-9"/>
        </w:rPr>
        <w:t>培訓和支援服務及津貼等並不統一、跟進支援時限較短，未能有效促進殘疾僱員</w:t>
      </w:r>
      <w:r>
        <w:rPr>
          <w:rFonts w:ascii="新細明體" w:eastAsia="新細明體" w:hint="eastAsia"/>
          <w:spacing w:val="-11"/>
        </w:rPr>
        <w:t>和僱主持續合作。社會企業作為政府支援弱勢社群</w:t>
      </w:r>
      <w:r>
        <w:rPr>
          <w:rFonts w:ascii="新細明體" w:eastAsia="新細明體" w:hint="eastAsia"/>
        </w:rPr>
        <w:t>（包括殘疾人士</w:t>
      </w:r>
      <w:r>
        <w:rPr>
          <w:rFonts w:ascii="新細明體" w:eastAsia="新細明體" w:hint="eastAsia"/>
          <w:spacing w:val="-32"/>
        </w:rPr>
        <w:t>）</w:t>
      </w:r>
      <w:r>
        <w:rPr>
          <w:rFonts w:ascii="新細明體" w:eastAsia="新細明體" w:hint="eastAsia"/>
        </w:rPr>
        <w:t>就業的重要措施之一，營運亦面對重重挑戰。</w:t>
      </w:r>
    </w:p>
    <w:p w:rsidR="00214939" w:rsidRDefault="00B95C6E">
      <w:pPr>
        <w:pStyle w:val="a3"/>
        <w:spacing w:before="185" w:line="256" w:lineRule="auto"/>
        <w:ind w:left="1020" w:right="1298" w:firstLine="479"/>
        <w:rPr>
          <w:rFonts w:ascii="新細明體" w:eastAsia="新細明體"/>
        </w:rPr>
      </w:pPr>
      <w:r>
        <w:rPr>
          <w:rFonts w:ascii="新細明體" w:eastAsia="新細明體" w:hint="eastAsia"/>
        </w:rPr>
        <w:t>旅遊業是香港的主要經濟支柱</w:t>
      </w:r>
      <w:r>
        <w:rPr>
          <w:vertAlign w:val="superscript"/>
        </w:rPr>
        <w:t>26,27</w:t>
      </w:r>
      <w:r>
        <w:rPr>
          <w:rFonts w:ascii="新細明體" w:eastAsia="新細明體" w:hint="eastAsia"/>
        </w:rPr>
        <w:t xml:space="preserve">，故需一個可持續旅遊的政策。隨著全球 </w:t>
      </w:r>
      <w:r>
        <w:rPr>
          <w:rFonts w:ascii="新細明體" w:eastAsia="新細明體" w:hint="eastAsia"/>
          <w:spacing w:val="-3"/>
        </w:rPr>
        <w:t>人口老化和殘疾人士數目上升，長者和殘疾人士在本地和外地旅遊的需求增加</w:t>
      </w:r>
      <w:r>
        <w:rPr>
          <w:vertAlign w:val="superscript"/>
        </w:rPr>
        <w:t>28</w:t>
      </w:r>
      <w:r>
        <w:rPr>
          <w:rFonts w:ascii="新細明體" w:eastAsia="新細明體" w:hint="eastAsia"/>
        </w:rPr>
        <w:t xml:space="preserve">， </w:t>
      </w:r>
      <w:r>
        <w:rPr>
          <w:rFonts w:ascii="新細明體" w:eastAsia="新細明體" w:hint="eastAsia"/>
          <w:spacing w:val="-8"/>
        </w:rPr>
        <w:t>銀髮市場成為旅遊業的焦點。歐美國家經驗顯示完善的無障礙旅遊設施能顯著提 升旅遊業的收益，</w:t>
      </w:r>
      <w:r>
        <w:rPr>
          <w:rFonts w:ascii="新細明體" w:eastAsia="新細明體" w:hint="eastAsia"/>
          <w:color w:val="212121"/>
          <w:spacing w:val="-8"/>
        </w:rPr>
        <w:t>帶來極可觀的收入</w:t>
      </w:r>
      <w:r>
        <w:rPr>
          <w:spacing w:val="-8"/>
          <w:vertAlign w:val="superscript"/>
        </w:rPr>
        <w:t>29,30</w:t>
      </w:r>
      <w:r>
        <w:rPr>
          <w:rFonts w:ascii="新細明體" w:eastAsia="新細明體" w:hint="eastAsia"/>
          <w:color w:val="212121"/>
          <w:spacing w:val="-8"/>
        </w:rPr>
        <w:t xml:space="preserve">。鄰近的台灣也有專營無障礙旅遊的公 </w:t>
      </w:r>
      <w:r>
        <w:rPr>
          <w:rFonts w:ascii="新細明體" w:eastAsia="新細明體" w:hint="eastAsia"/>
          <w:color w:val="212121"/>
          <w:spacing w:val="-20"/>
        </w:rPr>
        <w:t>司，專為「銀髮長輩」</w:t>
      </w:r>
      <w:r>
        <w:rPr>
          <w:rFonts w:ascii="新細明體" w:eastAsia="新細明體" w:hint="eastAsia"/>
          <w:spacing w:val="-120"/>
        </w:rPr>
        <w:t>、</w:t>
      </w:r>
      <w:r>
        <w:rPr>
          <w:rFonts w:ascii="新細明體" w:eastAsia="新細明體" w:hint="eastAsia"/>
          <w:color w:val="212121"/>
        </w:rPr>
        <w:t>「身</w:t>
      </w:r>
      <w:r>
        <w:rPr>
          <w:rFonts w:ascii="新細明體" w:eastAsia="新細明體" w:hint="eastAsia"/>
        </w:rPr>
        <w:t>障家庭」及「輪椅朋友」服務。</w:t>
      </w:r>
    </w:p>
    <w:p w:rsidR="00214939" w:rsidRDefault="00B95C6E">
      <w:pPr>
        <w:pStyle w:val="a3"/>
        <w:spacing w:before="185" w:line="256" w:lineRule="auto"/>
        <w:ind w:left="1020" w:right="1536" w:firstLine="479"/>
        <w:jc w:val="both"/>
        <w:rPr>
          <w:rFonts w:ascii="新細明體" w:eastAsia="新細明體"/>
        </w:rPr>
      </w:pPr>
      <w:r>
        <w:rPr>
          <w:rFonts w:ascii="新細明體" w:eastAsia="新細明體" w:hint="eastAsia"/>
          <w:spacing w:val="-6"/>
        </w:rPr>
        <w:t>雖然人口老齡化帶來銀髮市場的商機，但是本港尚未把握時機將無障礙旅遊</w:t>
      </w:r>
      <w:r>
        <w:rPr>
          <w:rFonts w:ascii="新細明體" w:eastAsia="新細明體" w:hint="eastAsia"/>
          <w:spacing w:val="-12"/>
        </w:rPr>
        <w:t>納入旅遊業發展藍圖。現時不少本地及外地旅客礙於一些觀光景點缺乏無障礙設施和配套而卻步，</w:t>
      </w:r>
      <w:r>
        <w:rPr>
          <w:rFonts w:ascii="新細明體" w:eastAsia="新細明體" w:hint="eastAsia"/>
          <w:color w:val="212121"/>
          <w:spacing w:val="-12"/>
        </w:rPr>
        <w:t>窒礙了旅遊業的發展及減少可帶來就業的機會</w:t>
      </w:r>
      <w:r>
        <w:rPr>
          <w:rFonts w:ascii="新細明體" w:eastAsia="新細明體" w:hint="eastAsia"/>
          <w:spacing w:val="-12"/>
        </w:rPr>
        <w:t>。</w:t>
      </w:r>
    </w:p>
    <w:p w:rsidR="00214939" w:rsidRDefault="00214939">
      <w:pPr>
        <w:spacing w:line="256" w:lineRule="auto"/>
        <w:jc w:val="both"/>
        <w:rPr>
          <w:rFonts w:ascii="新細明體" w:eastAsia="新細明體"/>
        </w:rPr>
        <w:sectPr w:rsidR="00214939">
          <w:pgSz w:w="11910" w:h="16840"/>
          <w:pgMar w:top="1400" w:right="260" w:bottom="1060" w:left="780" w:header="0" w:footer="852" w:gutter="0"/>
          <w:cols w:space="720"/>
        </w:sectPr>
      </w:pPr>
    </w:p>
    <w:p w:rsidR="00214939" w:rsidRDefault="00B95C6E">
      <w:pPr>
        <w:pStyle w:val="3"/>
        <w:spacing w:before="30"/>
      </w:pPr>
      <w:r>
        <w:lastRenderedPageBreak/>
        <w:t>就上述處境，本會建議：</w:t>
      </w:r>
    </w:p>
    <w:p w:rsidR="00214939" w:rsidRDefault="00B95C6E">
      <w:pPr>
        <w:pStyle w:val="a4"/>
        <w:numPr>
          <w:ilvl w:val="1"/>
          <w:numId w:val="2"/>
        </w:numPr>
        <w:tabs>
          <w:tab w:val="left" w:pos="1441"/>
        </w:tabs>
        <w:spacing w:before="182" w:line="256" w:lineRule="auto"/>
        <w:ind w:right="1535" w:hanging="425"/>
        <w:rPr>
          <w:sz w:val="24"/>
        </w:rPr>
      </w:pPr>
      <w:r>
        <w:rPr>
          <w:b/>
          <w:spacing w:val="-5"/>
          <w:sz w:val="24"/>
        </w:rPr>
        <w:t>推動商界、政府、公營機構</w:t>
      </w:r>
      <w:r>
        <w:rPr>
          <w:b/>
          <w:sz w:val="24"/>
        </w:rPr>
        <w:t>（</w:t>
      </w:r>
      <w:r>
        <w:rPr>
          <w:b/>
          <w:spacing w:val="-2"/>
          <w:sz w:val="24"/>
        </w:rPr>
        <w:t>包括教育、社會福利和醫療等</w:t>
      </w:r>
      <w:r>
        <w:rPr>
          <w:b/>
          <w:spacing w:val="-8"/>
          <w:sz w:val="24"/>
        </w:rPr>
        <w:t>）</w:t>
      </w:r>
      <w:r>
        <w:rPr>
          <w:b/>
          <w:sz w:val="24"/>
        </w:rPr>
        <w:t>及受資助機構</w:t>
      </w:r>
      <w:r>
        <w:rPr>
          <w:b/>
          <w:spacing w:val="3"/>
          <w:sz w:val="24"/>
        </w:rPr>
        <w:t xml:space="preserve">增聘殘疾人士，建議聘用率為 </w:t>
      </w:r>
      <w:r>
        <w:rPr>
          <w:rFonts w:ascii="Times New Roman" w:eastAsia="Times New Roman"/>
          <w:b/>
          <w:sz w:val="24"/>
        </w:rPr>
        <w:t>2-4%</w:t>
      </w:r>
      <w:r>
        <w:rPr>
          <w:sz w:val="24"/>
        </w:rPr>
        <w:t>；</w:t>
      </w:r>
    </w:p>
    <w:p w:rsidR="00214939" w:rsidRDefault="00B95C6E">
      <w:pPr>
        <w:pStyle w:val="a4"/>
        <w:numPr>
          <w:ilvl w:val="1"/>
          <w:numId w:val="2"/>
        </w:numPr>
        <w:tabs>
          <w:tab w:val="left" w:pos="1441"/>
        </w:tabs>
        <w:spacing w:before="182" w:line="256" w:lineRule="auto"/>
        <w:ind w:right="1413" w:hanging="425"/>
        <w:rPr>
          <w:sz w:val="24"/>
        </w:rPr>
      </w:pPr>
      <w:r>
        <w:rPr>
          <w:b/>
          <w:spacing w:val="-4"/>
          <w:sz w:val="24"/>
        </w:rPr>
        <w:t>支持社會企業的發展，</w:t>
      </w:r>
      <w:r>
        <w:rPr>
          <w:spacing w:val="-1"/>
          <w:sz w:val="24"/>
        </w:rPr>
        <w:t>促進政府及公營機構採購貨品和服務的公開招標的評核標準中加入「聘用殘疾人士」和「向聘用殘疾人士的社會企業購買服務」</w:t>
      </w:r>
    </w:p>
    <w:p w:rsidR="00214939" w:rsidRDefault="00B95C6E">
      <w:pPr>
        <w:pStyle w:val="a3"/>
        <w:spacing w:before="2"/>
        <w:ind w:left="1445"/>
        <w:rPr>
          <w:rFonts w:ascii="新細明體" w:eastAsia="新細明體"/>
        </w:rPr>
      </w:pPr>
      <w:r>
        <w:rPr>
          <w:b/>
          <w:position w:val="8"/>
          <w:sz w:val="16"/>
        </w:rPr>
        <w:t>a</w:t>
      </w:r>
      <w:r>
        <w:rPr>
          <w:rFonts w:ascii="新細明體" w:eastAsia="新細明體" w:hint="eastAsia"/>
        </w:rPr>
        <w:t>；亦為社會企業營運者提供有關市場營銷的培訓，及提供租金優惠以鼓勵社</w:t>
      </w:r>
    </w:p>
    <w:p w:rsidR="00214939" w:rsidRDefault="00B95C6E">
      <w:pPr>
        <w:pStyle w:val="a3"/>
        <w:spacing w:before="22"/>
        <w:ind w:left="1445"/>
        <w:rPr>
          <w:rFonts w:ascii="新細明體" w:eastAsia="新細明體"/>
        </w:rPr>
      </w:pPr>
      <w:r>
        <w:rPr>
          <w:rFonts w:ascii="新細明體" w:eastAsia="新細明體" w:hint="eastAsia"/>
        </w:rPr>
        <w:t>會企業發展。</w:t>
      </w:r>
    </w:p>
    <w:p w:rsidR="00214939" w:rsidRDefault="00B95C6E">
      <w:pPr>
        <w:pStyle w:val="a4"/>
        <w:numPr>
          <w:ilvl w:val="1"/>
          <w:numId w:val="2"/>
        </w:numPr>
        <w:tabs>
          <w:tab w:val="left" w:pos="1388"/>
        </w:tabs>
        <w:spacing w:before="207" w:line="256" w:lineRule="auto"/>
        <w:ind w:right="1536" w:hanging="425"/>
        <w:rPr>
          <w:sz w:val="24"/>
        </w:rPr>
      </w:pPr>
      <w:r>
        <w:rPr>
          <w:b/>
          <w:sz w:val="24"/>
        </w:rPr>
        <w:t>延長社會福利署職業復康及培訓服務的支援期</w:t>
      </w:r>
      <w:r>
        <w:rPr>
          <w:spacing w:val="-1"/>
          <w:sz w:val="24"/>
        </w:rPr>
        <w:t xml:space="preserve">，建議由現時半年延長至 </w:t>
      </w:r>
      <w:r>
        <w:rPr>
          <w:rFonts w:ascii="Times New Roman" w:eastAsia="Times New Roman"/>
          <w:sz w:val="24"/>
        </w:rPr>
        <w:t>9</w:t>
      </w:r>
      <w:r>
        <w:rPr>
          <w:rFonts w:ascii="Times New Roman" w:eastAsia="Times New Roman"/>
          <w:spacing w:val="7"/>
          <w:sz w:val="24"/>
        </w:rPr>
        <w:t xml:space="preserve"> </w:t>
      </w:r>
      <w:r>
        <w:rPr>
          <w:sz w:val="24"/>
        </w:rPr>
        <w:t>個</w:t>
      </w:r>
      <w:r>
        <w:rPr>
          <w:spacing w:val="-1"/>
          <w:sz w:val="24"/>
        </w:rPr>
        <w:t xml:space="preserve">月或 </w:t>
      </w:r>
      <w:r>
        <w:rPr>
          <w:rFonts w:ascii="Times New Roman" w:eastAsia="Times New Roman"/>
          <w:sz w:val="24"/>
        </w:rPr>
        <w:t xml:space="preserve">1 </w:t>
      </w:r>
      <w:r>
        <w:rPr>
          <w:spacing w:val="27"/>
          <w:sz w:val="24"/>
        </w:rPr>
        <w:t xml:space="preserve">年 </w:t>
      </w:r>
      <w:r>
        <w:rPr>
          <w:rFonts w:ascii="Times New Roman" w:eastAsia="Times New Roman"/>
          <w:sz w:val="24"/>
        </w:rPr>
        <w:t>(</w:t>
      </w:r>
      <w:r>
        <w:rPr>
          <w:spacing w:val="-16"/>
          <w:sz w:val="24"/>
        </w:rPr>
        <w:t>包括「輔助就業服務」、「殘疾人士在職培訓服務」和「陽光路上</w:t>
      </w:r>
    </w:p>
    <w:p w:rsidR="00214939" w:rsidRDefault="00B95C6E">
      <w:pPr>
        <w:pStyle w:val="a3"/>
        <w:spacing w:line="256" w:lineRule="auto"/>
        <w:ind w:left="1445" w:right="1490"/>
        <w:rPr>
          <w:rFonts w:ascii="新細明體" w:eastAsia="新細明體"/>
        </w:rPr>
      </w:pPr>
      <w:r>
        <w:t xml:space="preserve">- </w:t>
      </w:r>
      <w:r>
        <w:rPr>
          <w:rFonts w:ascii="新細明體" w:eastAsia="新細明體" w:hint="eastAsia"/>
        </w:rPr>
        <w:t>在職培訓計劃」</w:t>
      </w:r>
      <w:r>
        <w:t>)</w:t>
      </w:r>
      <w:r>
        <w:rPr>
          <w:rFonts w:ascii="新細明體" w:eastAsia="新細明體" w:hint="eastAsia"/>
        </w:rPr>
        <w:t>，以更有效協助殘疾僱員及其僱主，提升殘疾人士持續就業的可能性；</w:t>
      </w:r>
    </w:p>
    <w:p w:rsidR="00214939" w:rsidRDefault="00B95C6E">
      <w:pPr>
        <w:pStyle w:val="a4"/>
        <w:numPr>
          <w:ilvl w:val="1"/>
          <w:numId w:val="2"/>
        </w:numPr>
        <w:tabs>
          <w:tab w:val="left" w:pos="1443"/>
        </w:tabs>
        <w:spacing w:before="184" w:line="256" w:lineRule="auto"/>
        <w:ind w:right="1534" w:hanging="425"/>
        <w:rPr>
          <w:sz w:val="24"/>
        </w:rPr>
      </w:pPr>
      <w:r>
        <w:rPr>
          <w:b/>
          <w:spacing w:val="1"/>
          <w:sz w:val="24"/>
        </w:rPr>
        <w:t>統一社會福利署和勞工處各項培訓服務和就業計劃對學員和僱主的津貼模</w:t>
      </w:r>
      <w:r>
        <w:rPr>
          <w:b/>
          <w:spacing w:val="1"/>
          <w:w w:val="99"/>
          <w:sz w:val="24"/>
        </w:rPr>
        <w:t>式</w:t>
      </w:r>
      <w:r>
        <w:rPr>
          <w:sz w:val="24"/>
        </w:rPr>
        <w:t>（包括時限和金額</w:t>
      </w:r>
      <w:r>
        <w:rPr>
          <w:spacing w:val="-123"/>
          <w:sz w:val="24"/>
        </w:rPr>
        <w:t>）</w:t>
      </w:r>
      <w:r>
        <w:rPr>
          <w:sz w:val="24"/>
        </w:rPr>
        <w:t>，提高他們的參與動機。</w:t>
      </w:r>
    </w:p>
    <w:p w:rsidR="00214939" w:rsidRDefault="00B95C6E">
      <w:pPr>
        <w:pStyle w:val="3"/>
        <w:numPr>
          <w:ilvl w:val="1"/>
          <w:numId w:val="2"/>
        </w:numPr>
        <w:tabs>
          <w:tab w:val="left" w:pos="1441"/>
        </w:tabs>
        <w:spacing w:before="182"/>
        <w:ind w:hanging="425"/>
      </w:pPr>
      <w:r>
        <w:t>推動香港無障礙旅遊的發展，包括</w:t>
      </w:r>
    </w:p>
    <w:p w:rsidR="00214939" w:rsidRDefault="00B95C6E">
      <w:pPr>
        <w:pStyle w:val="a4"/>
        <w:numPr>
          <w:ilvl w:val="2"/>
          <w:numId w:val="2"/>
        </w:numPr>
        <w:tabs>
          <w:tab w:val="left" w:pos="2011"/>
          <w:tab w:val="left" w:pos="2012"/>
        </w:tabs>
        <w:spacing w:before="202"/>
        <w:ind w:hanging="566"/>
        <w:rPr>
          <w:sz w:val="24"/>
        </w:rPr>
      </w:pPr>
      <w:r>
        <w:rPr>
          <w:sz w:val="24"/>
        </w:rPr>
        <w:t>將發展無障礙旅遊納入旅遊規劃藍圖；</w:t>
      </w:r>
    </w:p>
    <w:p w:rsidR="00214939" w:rsidRDefault="00B95C6E">
      <w:pPr>
        <w:pStyle w:val="a4"/>
        <w:numPr>
          <w:ilvl w:val="2"/>
          <w:numId w:val="2"/>
        </w:numPr>
        <w:tabs>
          <w:tab w:val="left" w:pos="2011"/>
          <w:tab w:val="left" w:pos="2012"/>
        </w:tabs>
        <w:ind w:hanging="566"/>
        <w:rPr>
          <w:sz w:val="24"/>
        </w:rPr>
      </w:pPr>
      <w:r>
        <w:rPr>
          <w:sz w:val="24"/>
        </w:rPr>
        <w:t>在未來成立的旅遊業監管局加入殘疾人士為持份者；</w:t>
      </w:r>
    </w:p>
    <w:p w:rsidR="00214939" w:rsidRDefault="00B95C6E">
      <w:pPr>
        <w:pStyle w:val="a4"/>
        <w:numPr>
          <w:ilvl w:val="2"/>
          <w:numId w:val="2"/>
        </w:numPr>
        <w:tabs>
          <w:tab w:val="left" w:pos="2011"/>
          <w:tab w:val="left" w:pos="2012"/>
        </w:tabs>
        <w:spacing w:before="205"/>
        <w:ind w:hanging="566"/>
        <w:rPr>
          <w:sz w:val="24"/>
        </w:rPr>
      </w:pPr>
      <w:r>
        <w:rPr>
          <w:sz w:val="24"/>
        </w:rPr>
        <w:t>在本港無障礙旅遊景點和設施進行研究；</w:t>
      </w:r>
    </w:p>
    <w:p w:rsidR="00214939" w:rsidRDefault="00B95C6E">
      <w:pPr>
        <w:pStyle w:val="a4"/>
        <w:numPr>
          <w:ilvl w:val="2"/>
          <w:numId w:val="2"/>
        </w:numPr>
        <w:tabs>
          <w:tab w:val="left" w:pos="2011"/>
          <w:tab w:val="left" w:pos="2012"/>
        </w:tabs>
        <w:ind w:hanging="566"/>
        <w:rPr>
          <w:sz w:val="24"/>
        </w:rPr>
      </w:pPr>
      <w:r>
        <w:rPr>
          <w:sz w:val="24"/>
        </w:rPr>
        <w:t>為旅遊業界從業員提供無障礙服務培訓；</w:t>
      </w:r>
    </w:p>
    <w:p w:rsidR="00214939" w:rsidRDefault="00B95C6E">
      <w:pPr>
        <w:pStyle w:val="a4"/>
        <w:numPr>
          <w:ilvl w:val="2"/>
          <w:numId w:val="2"/>
        </w:numPr>
        <w:tabs>
          <w:tab w:val="left" w:pos="2011"/>
          <w:tab w:val="left" w:pos="2012"/>
        </w:tabs>
        <w:spacing w:before="205"/>
        <w:ind w:hanging="566"/>
        <w:rPr>
          <w:sz w:val="24"/>
        </w:rPr>
      </w:pPr>
      <w:r>
        <w:rPr>
          <w:sz w:val="24"/>
        </w:rPr>
        <w:t>推動無障礙旅遊巴士的發展。</w:t>
      </w:r>
    </w:p>
    <w:p w:rsidR="00214939" w:rsidRDefault="00B95C6E">
      <w:pPr>
        <w:pStyle w:val="a3"/>
        <w:spacing w:before="204" w:line="256" w:lineRule="auto"/>
        <w:ind w:left="1020" w:right="1536" w:firstLine="424"/>
        <w:jc w:val="both"/>
        <w:rPr>
          <w:rFonts w:ascii="新細明體" w:eastAsia="新細明體"/>
        </w:rPr>
      </w:pPr>
      <w:r>
        <w:rPr>
          <w:rFonts w:ascii="新細明體" w:eastAsia="新細明體" w:hint="eastAsia"/>
          <w:spacing w:val="-7"/>
        </w:rPr>
        <w:t>小結：本會建議積極創造殘疾人士的就業機會，加強對社會企業的支援及提</w:t>
      </w:r>
      <w:r>
        <w:rPr>
          <w:rFonts w:ascii="新細明體" w:eastAsia="新細明體" w:hint="eastAsia"/>
          <w:spacing w:val="-11"/>
        </w:rPr>
        <w:t>供為社會企業營運者有關市場營銷的培訓等。此外，將發展無障礙旅遊納入旅遊規劃藍圖，有助促進就業及社會經濟。</w:t>
      </w: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214939">
      <w:pPr>
        <w:pStyle w:val="a3"/>
        <w:rPr>
          <w:rFonts w:ascii="新細明體"/>
          <w:sz w:val="20"/>
        </w:rPr>
      </w:pPr>
    </w:p>
    <w:p w:rsidR="00214939" w:rsidRDefault="008F6AF9">
      <w:pPr>
        <w:pStyle w:val="a3"/>
        <w:rPr>
          <w:rFonts w:ascii="新細明體"/>
        </w:rPr>
      </w:pPr>
      <w:r>
        <w:pict>
          <v:line id="_x0000_s2059" style="position:absolute;z-index:1216;mso-wrap-distance-left:0;mso-wrap-distance-right:0;mso-position-horizontal-relative:page" from="90pt,19.2pt" to="234.05pt,19.2pt" strokeweight=".84pt">
            <w10:wrap type="topAndBottom" anchorx="page"/>
          </v:line>
        </w:pict>
      </w:r>
    </w:p>
    <w:p w:rsidR="00214939" w:rsidRDefault="00B95C6E">
      <w:pPr>
        <w:spacing w:before="82" w:line="223" w:lineRule="auto"/>
        <w:ind w:left="1020" w:right="1661"/>
        <w:rPr>
          <w:rFonts w:ascii="新細明體" w:eastAsia="新細明體"/>
          <w:sz w:val="20"/>
        </w:rPr>
      </w:pPr>
      <w:r>
        <w:rPr>
          <w:rFonts w:ascii="Calibri" w:eastAsia="Calibri"/>
          <w:position w:val="7"/>
          <w:sz w:val="13"/>
        </w:rPr>
        <w:t xml:space="preserve">a </w:t>
      </w:r>
      <w:r>
        <w:rPr>
          <w:rFonts w:ascii="新細明體" w:eastAsia="新細明體" w:hint="eastAsia"/>
          <w:sz w:val="20"/>
        </w:rPr>
        <w:t xml:space="preserve">現時已有一些政府部門和公營機構已帶頭在招標時已實施相關措施 </w:t>
      </w:r>
      <w:r>
        <w:rPr>
          <w:rFonts w:ascii="Calibri" w:eastAsia="Calibri"/>
          <w:sz w:val="20"/>
        </w:rPr>
        <w:t>(</w:t>
      </w:r>
      <w:r>
        <w:rPr>
          <w:rFonts w:ascii="新細明體" w:eastAsia="新細明體" w:hint="eastAsia"/>
          <w:sz w:val="20"/>
        </w:rPr>
        <w:t>如醫院管理局</w:t>
      </w:r>
      <w:r>
        <w:rPr>
          <w:rFonts w:ascii="Calibri" w:eastAsia="Calibri"/>
          <w:sz w:val="20"/>
        </w:rPr>
        <w:t>)</w:t>
      </w:r>
      <w:r>
        <w:rPr>
          <w:rFonts w:ascii="新細明體" w:eastAsia="新細明體" w:hint="eastAsia"/>
          <w:sz w:val="20"/>
        </w:rPr>
        <w:t>；此建議亦符合《世界貿易組織政府採購協定》的相關規定。</w:t>
      </w:r>
    </w:p>
    <w:p w:rsidR="00214939" w:rsidRDefault="00214939">
      <w:pPr>
        <w:spacing w:line="223" w:lineRule="auto"/>
        <w:rPr>
          <w:rFonts w:ascii="新細明體" w:eastAsia="新細明體"/>
          <w:sz w:val="20"/>
        </w:rPr>
        <w:sectPr w:rsidR="00214939">
          <w:pgSz w:w="11910" w:h="16840"/>
          <w:pgMar w:top="1380" w:right="260" w:bottom="1060" w:left="780" w:header="0" w:footer="852" w:gutter="0"/>
          <w:cols w:space="720"/>
        </w:sectPr>
      </w:pPr>
    </w:p>
    <w:p w:rsidR="00214939" w:rsidRDefault="00B95C6E">
      <w:pPr>
        <w:pStyle w:val="1"/>
        <w:spacing w:before="46"/>
      </w:pPr>
      <w:r>
        <w:lastRenderedPageBreak/>
        <w:t>（</w:t>
      </w:r>
      <w:r>
        <w:rPr>
          <w:rFonts w:ascii="Times New Roman" w:eastAsia="Times New Roman"/>
        </w:rPr>
        <w:t>3</w:t>
      </w:r>
      <w:r>
        <w:t>）永續城市</w:t>
      </w:r>
    </w:p>
    <w:p w:rsidR="000A19CC" w:rsidRDefault="000A19CC">
      <w:pPr>
        <w:pStyle w:val="1"/>
        <w:spacing w:before="46"/>
      </w:pPr>
    </w:p>
    <w:p w:rsidR="000A19CC" w:rsidRPr="000A19CC" w:rsidRDefault="000A19CC" w:rsidP="000A19CC">
      <w:pPr>
        <w:pStyle w:val="1"/>
        <w:spacing w:before="46"/>
        <w:rPr>
          <w:b w:val="0"/>
          <w:sz w:val="24"/>
          <w:szCs w:val="24"/>
        </w:rPr>
      </w:pPr>
      <w:r w:rsidRPr="000A19CC">
        <w:rPr>
          <w:rFonts w:hint="eastAsia"/>
          <w:b w:val="0"/>
          <w:sz w:val="24"/>
          <w:szCs w:val="24"/>
        </w:rPr>
        <w:t>永續城市的目標是建設既包容、安全，又能抵禦災害的可持續城市及住處。其具體目標包括「向所有人提供安全、可負擔、易於使用、可持續的交通運輸系統</w:t>
      </w:r>
      <w:r w:rsidRPr="000A19CC">
        <w:rPr>
          <w:b w:val="0"/>
          <w:sz w:val="24"/>
          <w:szCs w:val="24"/>
        </w:rPr>
        <w:t xml:space="preserve"> …</w:t>
      </w:r>
      <w:r w:rsidRPr="000A19CC">
        <w:rPr>
          <w:rFonts w:hint="eastAsia"/>
          <w:b w:val="0"/>
          <w:sz w:val="24"/>
          <w:szCs w:val="24"/>
        </w:rPr>
        <w:t>，且關注處境脆弱者、婦女、兒童、殘疾人士和長者的需要」、「大幅減少由包括水災在內的各種災害造成的死亡人數和受災人數，</w:t>
      </w:r>
      <w:r w:rsidRPr="000A19CC">
        <w:rPr>
          <w:b w:val="0"/>
          <w:sz w:val="24"/>
          <w:szCs w:val="24"/>
        </w:rPr>
        <w:t xml:space="preserve"> </w:t>
      </w:r>
      <w:r w:rsidRPr="000A19CC">
        <w:rPr>
          <w:rFonts w:hint="eastAsia"/>
          <w:b w:val="0"/>
          <w:sz w:val="24"/>
          <w:szCs w:val="24"/>
        </w:rPr>
        <w:t>重點保護窮人和處境脆弱群體」和「向所有人，特別是婦女、兒童、老年人和殘疾人，普遍提供安全、包容、無障礙、綠色的公共空間」。</w:t>
      </w:r>
    </w:p>
    <w:p w:rsidR="000A19CC" w:rsidRPr="000A19CC" w:rsidRDefault="000A19CC" w:rsidP="000A19CC">
      <w:pPr>
        <w:pStyle w:val="1"/>
        <w:spacing w:before="46"/>
        <w:jc w:val="right"/>
        <w:rPr>
          <w:rFonts w:hint="eastAsia"/>
          <w:b w:val="0"/>
          <w:sz w:val="24"/>
          <w:szCs w:val="24"/>
        </w:rPr>
      </w:pPr>
      <w:r w:rsidRPr="000A19CC">
        <w:rPr>
          <w:rFonts w:hint="eastAsia"/>
          <w:b w:val="0"/>
          <w:sz w:val="24"/>
          <w:szCs w:val="24"/>
        </w:rPr>
        <w:t>聯合國可持續發展目標十一</w:t>
      </w:r>
    </w:p>
    <w:p w:rsidR="00214939" w:rsidRDefault="00214939">
      <w:pPr>
        <w:pStyle w:val="a3"/>
        <w:spacing w:before="8"/>
        <w:rPr>
          <w:rFonts w:ascii="新細明體"/>
          <w:b/>
        </w:rPr>
      </w:pPr>
    </w:p>
    <w:p w:rsidR="00214939" w:rsidRDefault="00214939">
      <w:pPr>
        <w:pStyle w:val="a3"/>
        <w:spacing w:before="2"/>
        <w:rPr>
          <w:rFonts w:ascii="新細明體"/>
          <w:b/>
          <w:sz w:val="38"/>
        </w:rPr>
      </w:pPr>
    </w:p>
    <w:p w:rsidR="00214939" w:rsidRDefault="00B95C6E">
      <w:pPr>
        <w:pStyle w:val="3"/>
      </w:pPr>
      <w:r>
        <w:t>關注重點</w:t>
      </w:r>
    </w:p>
    <w:p w:rsidR="00214939" w:rsidRDefault="00B95C6E">
      <w:pPr>
        <w:pStyle w:val="a3"/>
        <w:spacing w:before="204" w:line="256" w:lineRule="auto"/>
        <w:ind w:left="1020" w:right="1536" w:firstLine="479"/>
        <w:jc w:val="both"/>
        <w:rPr>
          <w:rFonts w:ascii="新細明體" w:eastAsia="新細明體"/>
        </w:rPr>
      </w:pPr>
      <w:r>
        <w:rPr>
          <w:rFonts w:ascii="新細明體" w:eastAsia="新細明體" w:hint="eastAsia"/>
          <w:spacing w:val="-4"/>
        </w:rPr>
        <w:t>一個能永續發展的城市的交通運輸系統和公共設施十分重要。本章討論無障礙運輸</w:t>
      </w:r>
      <w:r>
        <w:rPr>
          <w:rFonts w:ascii="新細明體" w:eastAsia="新細明體" w:hint="eastAsia"/>
          <w:b/>
          <w:spacing w:val="-4"/>
        </w:rPr>
        <w:t>、</w:t>
      </w:r>
      <w:r>
        <w:rPr>
          <w:rFonts w:ascii="新細明體" w:eastAsia="新細明體" w:hint="eastAsia"/>
          <w:spacing w:val="-4"/>
        </w:rPr>
        <w:t>無障礙設施，以及危機應變和救災的工作。</w:t>
      </w:r>
    </w:p>
    <w:p w:rsidR="00214939" w:rsidRDefault="00B95C6E">
      <w:pPr>
        <w:pStyle w:val="3"/>
        <w:spacing w:before="182"/>
      </w:pPr>
      <w:r>
        <w:t>主要挑戰</w:t>
      </w:r>
    </w:p>
    <w:p w:rsidR="00214939" w:rsidRDefault="00B95C6E">
      <w:pPr>
        <w:pStyle w:val="a3"/>
        <w:spacing w:before="205" w:line="256" w:lineRule="auto"/>
        <w:ind w:left="1020" w:right="1536" w:firstLine="479"/>
        <w:jc w:val="both"/>
        <w:rPr>
          <w:rFonts w:ascii="新細明體" w:eastAsia="新細明體"/>
        </w:rPr>
      </w:pPr>
      <w:r>
        <w:rPr>
          <w:rFonts w:ascii="新細明體" w:eastAsia="新細明體" w:hint="eastAsia"/>
          <w:spacing w:val="-7"/>
        </w:rPr>
        <w:t>無障礙運輸對殘疾人士、長期病患者和長者出行極其重要，特別是當他們需</w:t>
      </w:r>
      <w:r>
        <w:rPr>
          <w:rFonts w:ascii="新細明體" w:eastAsia="新細明體" w:hint="eastAsia"/>
          <w:spacing w:val="-12"/>
        </w:rPr>
        <w:t>要外出就診和接受醫療、復康和照顧服務的時候。香港過去十載在發展「健康城</w:t>
      </w:r>
      <w:r>
        <w:rPr>
          <w:rFonts w:ascii="新細明體" w:eastAsia="新細明體" w:hint="eastAsia"/>
          <w:spacing w:val="-29"/>
        </w:rPr>
        <w:t>市」、「長者友善社區」及</w:t>
      </w:r>
      <w:hyperlink r:id="rId11">
        <w:r>
          <w:rPr>
            <w:rFonts w:ascii="新細明體" w:eastAsia="新細明體" w:hint="eastAsia"/>
          </w:rPr>
          <w:t>「人人暢道通行計劃</w:t>
        </w:r>
      </w:hyperlink>
      <w:r>
        <w:rPr>
          <w:rFonts w:ascii="新細明體" w:eastAsia="新細明體" w:hint="eastAsia"/>
          <w:spacing w:val="-5"/>
        </w:rPr>
        <w:t>」等計劃都大大幫助了殘疾人士的出行。</w:t>
      </w:r>
    </w:p>
    <w:p w:rsidR="00214939" w:rsidRDefault="00B95C6E">
      <w:pPr>
        <w:pStyle w:val="a3"/>
        <w:spacing w:before="183" w:line="256" w:lineRule="auto"/>
        <w:ind w:left="1020" w:right="1541" w:firstLine="479"/>
        <w:jc w:val="both"/>
        <w:rPr>
          <w:rFonts w:ascii="新細明體" w:eastAsia="新細明體"/>
        </w:rPr>
      </w:pPr>
      <w:r>
        <w:rPr>
          <w:rFonts w:ascii="新細明體" w:eastAsia="新細明體" w:hint="eastAsia"/>
          <w:spacing w:val="-6"/>
        </w:rPr>
        <w:t>現時香港不少街道和處所仍有不同的障礙，令殘疾人士、長期病患者和長者難以使用公共空間，影響了他們的社會參與。現時的無障礙設計指引</w:t>
      </w:r>
      <w:r>
        <w:rPr>
          <w:rFonts w:ascii="新細明體" w:eastAsia="新細明體" w:hint="eastAsia"/>
          <w:spacing w:val="-120"/>
        </w:rPr>
        <w:t>（</w:t>
      </w:r>
      <w:r>
        <w:rPr>
          <w:rFonts w:ascii="新細明體" w:eastAsia="新細明體" w:hint="eastAsia"/>
        </w:rPr>
        <w:t>《設計手</w:t>
      </w:r>
      <w:r>
        <w:rPr>
          <w:rFonts w:ascii="新細明體" w:eastAsia="新細明體" w:hint="eastAsia"/>
          <w:spacing w:val="5"/>
        </w:rPr>
        <w:t xml:space="preserve">冊：暢通無阻的通道 </w:t>
      </w:r>
      <w:r>
        <w:t>2008</w:t>
      </w:r>
      <w:r>
        <w:rPr>
          <w:rFonts w:ascii="新細明體" w:eastAsia="新細明體" w:hint="eastAsia"/>
          <w:spacing w:val="-120"/>
        </w:rPr>
        <w:t>》</w:t>
      </w:r>
      <w:r>
        <w:rPr>
          <w:rFonts w:ascii="新細明體" w:eastAsia="新細明體" w:hint="eastAsia"/>
        </w:rPr>
        <w:t>）亦已過時，需作出更新。</w:t>
      </w:r>
    </w:p>
    <w:p w:rsidR="00214939" w:rsidRDefault="00B95C6E">
      <w:pPr>
        <w:pStyle w:val="a3"/>
        <w:spacing w:before="183" w:line="256" w:lineRule="auto"/>
        <w:ind w:left="1020" w:right="1536" w:firstLine="479"/>
        <w:jc w:val="both"/>
        <w:rPr>
          <w:rFonts w:ascii="新細明體" w:eastAsia="新細明體"/>
        </w:rPr>
      </w:pPr>
      <w:r>
        <w:rPr>
          <w:rFonts w:ascii="新細明體" w:eastAsia="新細明體" w:hint="eastAsia"/>
          <w:spacing w:val="-1"/>
        </w:rPr>
        <w:t xml:space="preserve">政府運輸及房屋局於 </w:t>
      </w:r>
      <w:r>
        <w:t xml:space="preserve">2017 </w:t>
      </w:r>
      <w:r>
        <w:rPr>
          <w:rFonts w:ascii="新細明體" w:eastAsia="新細明體" w:hint="eastAsia"/>
          <w:spacing w:val="-7"/>
        </w:rPr>
        <w:t>年發表了《公共交通策略研究</w:t>
      </w:r>
      <w:r>
        <w:rPr>
          <w:rFonts w:ascii="新細明體" w:eastAsia="新細明體" w:hint="eastAsia"/>
          <w:spacing w:val="-20"/>
        </w:rPr>
        <w:t>》，表示改善無障礙</w:t>
      </w:r>
      <w:r>
        <w:rPr>
          <w:rFonts w:ascii="新細明體" w:eastAsia="新細明體" w:hint="eastAsia"/>
          <w:spacing w:val="-15"/>
        </w:rPr>
        <w:t>運輸設施，包括研究和試驗無障礙小巴。本港不少醫院位於山上，低地台巴士未</w:t>
      </w:r>
      <w:r>
        <w:rPr>
          <w:rFonts w:ascii="新細明體" w:eastAsia="新細明體" w:hint="eastAsia"/>
          <w:spacing w:val="-12"/>
        </w:rPr>
        <w:t>能直達。有小巴營辦商於今年引入了三輛低地台小巴行走三間醫院作為試驗。可</w:t>
      </w:r>
      <w:r>
        <w:rPr>
          <w:rFonts w:ascii="新細明體" w:eastAsia="新細明體" w:hint="eastAsia"/>
        </w:rPr>
        <w:t>是，相對各區輪椅使用者的覆診需求，供應量非常有限。</w:t>
      </w:r>
    </w:p>
    <w:p w:rsidR="00214939" w:rsidRDefault="00B95C6E">
      <w:pPr>
        <w:pStyle w:val="a3"/>
        <w:spacing w:before="184" w:line="256" w:lineRule="auto"/>
        <w:ind w:left="1020" w:right="1536" w:firstLine="479"/>
        <w:jc w:val="both"/>
        <w:rPr>
          <w:rFonts w:ascii="新細明體" w:eastAsia="新細明體"/>
        </w:rPr>
      </w:pPr>
      <w:r>
        <w:rPr>
          <w:rFonts w:ascii="新細明體" w:eastAsia="新細明體" w:hint="eastAsia"/>
          <w:spacing w:val="-8"/>
        </w:rPr>
        <w:t>隨著全球氣候變化，未來出現風災的機會大增，如本年八月颱風天鴿便對港</w:t>
      </w:r>
      <w:r>
        <w:rPr>
          <w:rFonts w:ascii="新細明體" w:eastAsia="新細明體" w:hint="eastAsia"/>
          <w:spacing w:val="-13"/>
        </w:rPr>
        <w:t>澳地區造成嚴重的影響，這帶出了面對危機時的應變措施和救災能力的重要性。</w:t>
      </w:r>
      <w:r>
        <w:rPr>
          <w:rFonts w:ascii="新細明體" w:eastAsia="新細明體" w:hint="eastAsia"/>
          <w:spacing w:val="-17"/>
        </w:rPr>
        <w:t>長者和殘疾人士因不同的身體限制，他們更需有一個危機應變和救災的工作的預防措施</w:t>
      </w:r>
      <w:r>
        <w:rPr>
          <w:spacing w:val="-17"/>
          <w:vertAlign w:val="superscript"/>
        </w:rPr>
        <w:t>31</w:t>
      </w:r>
      <w:r>
        <w:rPr>
          <w:rFonts w:ascii="新細明體" w:eastAsia="新細明體" w:hint="eastAsia"/>
          <w:spacing w:val="-17"/>
        </w:rPr>
        <w:t>。</w:t>
      </w:r>
    </w:p>
    <w:p w:rsidR="00214939" w:rsidRDefault="00214939">
      <w:pPr>
        <w:spacing w:line="256" w:lineRule="auto"/>
        <w:jc w:val="both"/>
        <w:rPr>
          <w:rFonts w:ascii="新細明體" w:eastAsia="新細明體"/>
        </w:rPr>
        <w:sectPr w:rsidR="00214939">
          <w:pgSz w:w="11910" w:h="16840"/>
          <w:pgMar w:top="1360" w:right="260" w:bottom="1040" w:left="780" w:header="0" w:footer="852" w:gutter="0"/>
          <w:cols w:space="720"/>
        </w:sectPr>
      </w:pPr>
    </w:p>
    <w:p w:rsidR="00214939" w:rsidRDefault="00B95C6E">
      <w:pPr>
        <w:pStyle w:val="3"/>
        <w:spacing w:before="34"/>
      </w:pPr>
      <w:r>
        <w:lastRenderedPageBreak/>
        <w:t>就上述處境，本會建議：</w:t>
      </w:r>
    </w:p>
    <w:p w:rsidR="00214939" w:rsidRDefault="00B95C6E">
      <w:pPr>
        <w:pStyle w:val="a4"/>
        <w:numPr>
          <w:ilvl w:val="1"/>
          <w:numId w:val="1"/>
        </w:numPr>
        <w:tabs>
          <w:tab w:val="left" w:pos="1446"/>
        </w:tabs>
        <w:rPr>
          <w:b/>
          <w:sz w:val="24"/>
        </w:rPr>
      </w:pPr>
      <w:r>
        <w:rPr>
          <w:b/>
          <w:sz w:val="24"/>
        </w:rPr>
        <w:t>按運輸及房屋局的《公共交通策略研究》促進無障礙運輸服務</w:t>
      </w:r>
    </w:p>
    <w:p w:rsidR="00214939" w:rsidRDefault="00B95C6E">
      <w:pPr>
        <w:pStyle w:val="a4"/>
        <w:numPr>
          <w:ilvl w:val="2"/>
          <w:numId w:val="1"/>
        </w:numPr>
        <w:tabs>
          <w:tab w:val="left" w:pos="1925"/>
          <w:tab w:val="left" w:pos="1926"/>
        </w:tabs>
        <w:rPr>
          <w:sz w:val="24"/>
        </w:rPr>
      </w:pPr>
      <w:r>
        <w:rPr>
          <w:sz w:val="24"/>
        </w:rPr>
        <w:t>推動醫院專線小巴引入更多低地台小巴，方便殘疾人士就診；</w:t>
      </w:r>
    </w:p>
    <w:p w:rsidR="00214939" w:rsidRDefault="00B95C6E">
      <w:pPr>
        <w:pStyle w:val="a4"/>
        <w:numPr>
          <w:ilvl w:val="2"/>
          <w:numId w:val="1"/>
        </w:numPr>
        <w:tabs>
          <w:tab w:val="left" w:pos="1926"/>
        </w:tabs>
        <w:spacing w:before="205" w:line="256" w:lineRule="auto"/>
        <w:ind w:right="1536"/>
        <w:jc w:val="both"/>
        <w:rPr>
          <w:sz w:val="24"/>
        </w:rPr>
      </w:pPr>
      <w:r>
        <w:rPr>
          <w:spacing w:val="-2"/>
          <w:sz w:val="24"/>
        </w:rPr>
        <w:t>訂立以香港的士和小巴全面無障礙為目標的長遠計劃及時間表，引入更</w:t>
      </w:r>
      <w:r>
        <w:rPr>
          <w:spacing w:val="-6"/>
          <w:sz w:val="24"/>
        </w:rPr>
        <w:t>多無障礙的士及小巴，並考慮低地台為日後審批專線小巴新路線的一個評審因素。</w:t>
      </w:r>
    </w:p>
    <w:p w:rsidR="00214939" w:rsidRDefault="00B95C6E">
      <w:pPr>
        <w:pStyle w:val="a4"/>
        <w:numPr>
          <w:ilvl w:val="1"/>
          <w:numId w:val="1"/>
        </w:numPr>
        <w:tabs>
          <w:tab w:val="left" w:pos="1446"/>
        </w:tabs>
        <w:spacing w:before="185" w:line="256" w:lineRule="auto"/>
        <w:ind w:right="1536"/>
        <w:rPr>
          <w:sz w:val="24"/>
        </w:rPr>
      </w:pPr>
      <w:r>
        <w:rPr>
          <w:b/>
          <w:spacing w:val="-2"/>
          <w:sz w:val="24"/>
        </w:rPr>
        <w:t xml:space="preserve">跟進修訂《設計手冊：暢通無阻的通道 </w:t>
      </w:r>
      <w:r>
        <w:rPr>
          <w:rFonts w:ascii="Times New Roman" w:eastAsia="Times New Roman"/>
          <w:b/>
          <w:sz w:val="24"/>
        </w:rPr>
        <w:t>2008</w:t>
      </w:r>
      <w:r>
        <w:rPr>
          <w:b/>
          <w:spacing w:val="-125"/>
          <w:sz w:val="24"/>
        </w:rPr>
        <w:t>》</w:t>
      </w:r>
      <w:r>
        <w:rPr>
          <w:spacing w:val="-4"/>
          <w:sz w:val="24"/>
        </w:rPr>
        <w:t>，提升無障礙水平，促進市民及遊客出行。</w:t>
      </w:r>
    </w:p>
    <w:p w:rsidR="00214939" w:rsidRDefault="00B95C6E">
      <w:pPr>
        <w:pStyle w:val="3"/>
        <w:numPr>
          <w:ilvl w:val="1"/>
          <w:numId w:val="1"/>
        </w:numPr>
        <w:tabs>
          <w:tab w:val="left" w:pos="1446"/>
        </w:tabs>
        <w:spacing w:before="182"/>
        <w:rPr>
          <w:rFonts w:ascii="Times New Roman" w:eastAsia="Times New Roman"/>
        </w:rPr>
      </w:pPr>
      <w:r>
        <w:rPr>
          <w:spacing w:val="31"/>
        </w:rPr>
        <w:t>加強市民及殘疾人士對災難應變和管理</w:t>
      </w:r>
      <w:r>
        <w:t>（</w:t>
      </w:r>
      <w:r>
        <w:rPr>
          <w:spacing w:val="-27"/>
        </w:rPr>
        <w:t xml:space="preserve"> </w:t>
      </w:r>
      <w:r>
        <w:rPr>
          <w:rFonts w:ascii="Times New Roman" w:eastAsia="Times New Roman"/>
        </w:rPr>
        <w:t>Disability-Inclusive</w:t>
      </w:r>
      <w:r>
        <w:rPr>
          <w:rFonts w:ascii="Times New Roman" w:eastAsia="Times New Roman"/>
          <w:spacing w:val="57"/>
        </w:rPr>
        <w:t xml:space="preserve"> </w:t>
      </w:r>
      <w:r>
        <w:rPr>
          <w:rFonts w:ascii="Times New Roman" w:eastAsia="Times New Roman"/>
        </w:rPr>
        <w:t>Disaster</w:t>
      </w:r>
    </w:p>
    <w:p w:rsidR="00214939" w:rsidRDefault="00B95C6E">
      <w:pPr>
        <w:spacing w:before="25"/>
        <w:ind w:left="1445"/>
        <w:rPr>
          <w:rFonts w:ascii="新細明體" w:eastAsia="新細明體"/>
          <w:sz w:val="24"/>
        </w:rPr>
      </w:pPr>
      <w:r>
        <w:rPr>
          <w:b/>
          <w:sz w:val="24"/>
        </w:rPr>
        <w:t>Management</w:t>
      </w:r>
      <w:r>
        <w:rPr>
          <w:rFonts w:ascii="新細明體" w:eastAsia="新細明體" w:hint="eastAsia"/>
          <w:b/>
          <w:sz w:val="24"/>
        </w:rPr>
        <w:t>）的關注和教育</w:t>
      </w:r>
      <w:r>
        <w:rPr>
          <w:rFonts w:ascii="新細明體" w:eastAsia="新細明體" w:hint="eastAsia"/>
          <w:sz w:val="24"/>
        </w:rPr>
        <w:t>，以預防和應付因災難和意外造成的傷害。</w:t>
      </w:r>
    </w:p>
    <w:p w:rsidR="00214939" w:rsidRDefault="00B95C6E">
      <w:pPr>
        <w:pStyle w:val="a3"/>
        <w:spacing w:before="202"/>
        <w:ind w:left="1500"/>
        <w:rPr>
          <w:rFonts w:ascii="新細明體" w:eastAsia="新細明體"/>
        </w:rPr>
      </w:pPr>
      <w:r>
        <w:rPr>
          <w:rFonts w:ascii="新細明體" w:eastAsia="新細明體" w:hint="eastAsia"/>
        </w:rPr>
        <w:t>小結：本會建議促進無障礙運輸服務，特別是無障礙的士及小巴，跟進修訂</w:t>
      </w:r>
    </w:p>
    <w:p w:rsidR="00214939" w:rsidRDefault="00B95C6E">
      <w:pPr>
        <w:pStyle w:val="a3"/>
        <w:spacing w:before="24" w:line="256" w:lineRule="auto"/>
        <w:ind w:left="1020" w:right="1544"/>
        <w:rPr>
          <w:rFonts w:ascii="新細明體" w:eastAsia="新細明體"/>
        </w:rPr>
      </w:pPr>
      <w:r>
        <w:rPr>
          <w:rFonts w:ascii="新細明體" w:eastAsia="新細明體" w:hint="eastAsia"/>
        </w:rPr>
        <w:t xml:space="preserve">《設計手冊：暢通無阻的通道 </w:t>
      </w:r>
      <w:r>
        <w:t>2008</w:t>
      </w:r>
      <w:r>
        <w:rPr>
          <w:rFonts w:ascii="新細明體" w:eastAsia="新細明體" w:hint="eastAsia"/>
        </w:rPr>
        <w:t>》及加強災難管理照顧市民及殘疾人士的需要。</w:t>
      </w:r>
    </w:p>
    <w:p w:rsidR="00214939" w:rsidRDefault="00214939">
      <w:pPr>
        <w:pStyle w:val="a3"/>
        <w:rPr>
          <w:rFonts w:ascii="新細明體"/>
        </w:rPr>
      </w:pPr>
    </w:p>
    <w:p w:rsidR="00214939" w:rsidRDefault="00214939">
      <w:pPr>
        <w:pStyle w:val="a3"/>
        <w:spacing w:before="11"/>
        <w:rPr>
          <w:rFonts w:ascii="新細明體"/>
          <w:sz w:val="19"/>
        </w:rPr>
      </w:pPr>
    </w:p>
    <w:p w:rsidR="00214939" w:rsidRDefault="00B95C6E">
      <w:pPr>
        <w:pStyle w:val="1"/>
      </w:pPr>
      <w:r>
        <w:t>總結</w:t>
      </w:r>
    </w:p>
    <w:p w:rsidR="00214939" w:rsidRDefault="00214939">
      <w:pPr>
        <w:pStyle w:val="a3"/>
        <w:spacing w:before="11"/>
        <w:rPr>
          <w:rFonts w:ascii="新細明體"/>
          <w:b/>
        </w:rPr>
      </w:pPr>
    </w:p>
    <w:p w:rsidR="00214939" w:rsidRDefault="00B95C6E">
      <w:pPr>
        <w:pStyle w:val="a3"/>
        <w:spacing w:line="223" w:lineRule="auto"/>
        <w:ind w:left="1020" w:right="1533" w:firstLine="479"/>
        <w:jc w:val="both"/>
        <w:rPr>
          <w:rFonts w:ascii="新細明體" w:eastAsia="新細明體"/>
        </w:rPr>
      </w:pPr>
      <w:r>
        <w:rPr>
          <w:rFonts w:ascii="新細明體" w:eastAsia="新細明體" w:hint="eastAsia"/>
          <w:spacing w:val="-11"/>
        </w:rPr>
        <w:t>總括而言，本會期望行政長官林鄭月娥女士能於未來一年施政報告及未來五</w:t>
      </w:r>
      <w:r>
        <w:rPr>
          <w:rFonts w:ascii="新細明體" w:eastAsia="新細明體" w:hint="eastAsia"/>
          <w:spacing w:val="-22"/>
        </w:rPr>
        <w:t>年任期內關注殘疾人士、長期病患者及長者的福祉。本會是次提出聯合國的《</w:t>
      </w:r>
      <w:r>
        <w:t xml:space="preserve">2030 </w:t>
      </w:r>
      <w:r>
        <w:rPr>
          <w:rFonts w:ascii="新細明體" w:eastAsia="新細明體" w:hint="eastAsia"/>
          <w:spacing w:val="-8"/>
        </w:rPr>
        <w:t>年可持續發展議程》</w:t>
      </w:r>
      <w:r>
        <w:rPr>
          <w:vertAlign w:val="superscript"/>
        </w:rPr>
        <w:t>32</w:t>
      </w:r>
      <w:r>
        <w:rPr>
          <w:rFonts w:ascii="新細明體" w:eastAsia="新細明體" w:hint="eastAsia"/>
        </w:rPr>
        <w:t>及三個主要</w:t>
      </w:r>
      <w:r>
        <w:rPr>
          <w:rFonts w:ascii="新細明體" w:eastAsia="新細明體" w:hint="eastAsia"/>
          <w:color w:val="333333"/>
          <w:spacing w:val="-14"/>
        </w:rPr>
        <w:t>改變世界的『可持續發展目標』</w:t>
      </w:r>
      <w:r>
        <w:rPr>
          <w:rFonts w:ascii="新細明體" w:eastAsia="新細明體" w:hint="eastAsia"/>
          <w:spacing w:val="-6"/>
        </w:rPr>
        <w:t>作討論和建議：</w:t>
      </w:r>
    </w:p>
    <w:p w:rsidR="00214939" w:rsidRDefault="00B95C6E">
      <w:pPr>
        <w:pStyle w:val="a3"/>
        <w:spacing w:line="223" w:lineRule="auto"/>
        <w:ind w:left="1020" w:right="1536"/>
        <w:rPr>
          <w:rFonts w:ascii="新細明體" w:eastAsia="新細明體"/>
        </w:rPr>
      </w:pPr>
      <w:r>
        <w:rPr>
          <w:rFonts w:ascii="新細明體" w:eastAsia="新細明體" w:hint="eastAsia"/>
          <w:spacing w:val="-22"/>
        </w:rPr>
        <w:t>「健康與福祉」、「就業與經濟成長」和「永續城市」，協力建造一個更共融和持</w:t>
      </w:r>
      <w:r>
        <w:rPr>
          <w:rFonts w:ascii="新細明體" w:eastAsia="新細明體" w:hint="eastAsia"/>
          <w:spacing w:val="-15"/>
        </w:rPr>
        <w:t>續發展的社會。如有需要，本會樂意提供進一步闡述意見書之內容。詳情如下：</w:t>
      </w:r>
    </w:p>
    <w:p w:rsidR="00214939" w:rsidRDefault="00214939">
      <w:pPr>
        <w:pStyle w:val="a3"/>
        <w:spacing w:before="7"/>
        <w:rPr>
          <w:rFonts w:ascii="新細明體"/>
          <w:sz w:val="18"/>
        </w:rPr>
      </w:pPr>
    </w:p>
    <w:p w:rsidR="00214939" w:rsidRDefault="00B95C6E">
      <w:pPr>
        <w:pStyle w:val="a3"/>
        <w:ind w:left="1020"/>
        <w:rPr>
          <w:rFonts w:ascii="新細明體" w:eastAsia="新細明體"/>
        </w:rPr>
      </w:pPr>
      <w:r>
        <w:rPr>
          <w:rFonts w:ascii="新細明體" w:eastAsia="新細明體" w:hint="eastAsia"/>
        </w:rPr>
        <w:t>聯絡人</w:t>
      </w:r>
    </w:p>
    <w:p w:rsidR="00214939" w:rsidRDefault="00B95C6E">
      <w:pPr>
        <w:pStyle w:val="a3"/>
        <w:spacing w:before="1"/>
        <w:ind w:left="1020"/>
        <w:rPr>
          <w:rFonts w:ascii="新細明體" w:eastAsia="新細明體"/>
        </w:rPr>
      </w:pPr>
      <w:r>
        <w:rPr>
          <w:rFonts w:ascii="新細明體" w:eastAsia="新細明體" w:hint="eastAsia"/>
        </w:rPr>
        <w:t>香港復康會 總裁 梁佩如博士</w:t>
      </w:r>
    </w:p>
    <w:p w:rsidR="00214939" w:rsidRDefault="00B95C6E">
      <w:pPr>
        <w:tabs>
          <w:tab w:val="left" w:pos="5821"/>
        </w:tabs>
        <w:spacing w:before="39"/>
        <w:ind w:left="1020"/>
      </w:pPr>
      <w:r>
        <w:rPr>
          <w:rFonts w:ascii="新細明體" w:eastAsia="新細明體" w:hint="eastAsia"/>
        </w:rPr>
        <w:t>電郵：</w:t>
      </w:r>
      <w:r>
        <w:rPr>
          <w:rFonts w:ascii="新細明體" w:eastAsia="新細明體" w:hint="eastAsia"/>
          <w:spacing w:val="40"/>
        </w:rPr>
        <w:t xml:space="preserve"> </w:t>
      </w:r>
      <w:hyperlink r:id="rId12">
        <w:r>
          <w:rPr>
            <w:color w:val="0462C1"/>
            <w:u w:val="single" w:color="0462C1"/>
          </w:rPr>
          <w:t>pamela.leung@rehabsociety.org.hk</w:t>
        </w:r>
      </w:hyperlink>
      <w:r>
        <w:rPr>
          <w:color w:val="0462C1"/>
        </w:rPr>
        <w:tab/>
      </w:r>
      <w:r>
        <w:rPr>
          <w:rFonts w:ascii="新細明體" w:eastAsia="新細明體" w:hint="eastAsia"/>
        </w:rPr>
        <w:t>電話：</w:t>
      </w:r>
      <w:r>
        <w:rPr>
          <w:rFonts w:ascii="新細明體" w:eastAsia="新細明體" w:hint="eastAsia"/>
          <w:spacing w:val="52"/>
        </w:rPr>
        <w:t xml:space="preserve"> </w:t>
      </w:r>
      <w:r>
        <w:t>2534-3308</w:t>
      </w:r>
    </w:p>
    <w:p w:rsidR="00214939" w:rsidRDefault="00B95C6E">
      <w:pPr>
        <w:pStyle w:val="a3"/>
        <w:spacing w:before="38"/>
        <w:ind w:left="1020"/>
        <w:rPr>
          <w:rFonts w:ascii="新細明體" w:eastAsia="新細明體"/>
        </w:rPr>
      </w:pPr>
      <w:r>
        <w:rPr>
          <w:rFonts w:ascii="新細明體" w:eastAsia="新細明體" w:hint="eastAsia"/>
        </w:rPr>
        <w:t>香港復康會 研究及倡議中心 高級經理 熊德鳳女士</w:t>
      </w:r>
    </w:p>
    <w:p w:rsidR="00214939" w:rsidRDefault="00B95C6E">
      <w:pPr>
        <w:tabs>
          <w:tab w:val="left" w:pos="5821"/>
        </w:tabs>
        <w:spacing w:before="24"/>
        <w:ind w:left="1020"/>
      </w:pPr>
      <w:r>
        <w:rPr>
          <w:rFonts w:ascii="新細明體" w:eastAsia="新細明體" w:hint="eastAsia"/>
          <w:sz w:val="24"/>
        </w:rPr>
        <w:t>電郵</w:t>
      </w:r>
      <w:r>
        <w:rPr>
          <w:rFonts w:ascii="新細明體" w:eastAsia="新細明體" w:hint="eastAsia"/>
        </w:rPr>
        <w:t>：</w:t>
      </w:r>
      <w:r>
        <w:rPr>
          <w:rFonts w:ascii="新細明體" w:eastAsia="新細明體" w:hint="eastAsia"/>
          <w:spacing w:val="45"/>
        </w:rPr>
        <w:t xml:space="preserve"> </w:t>
      </w:r>
      <w:hyperlink r:id="rId13">
        <w:r>
          <w:rPr>
            <w:color w:val="0462C1"/>
            <w:u w:val="single" w:color="0462C1"/>
          </w:rPr>
          <w:t>anchor.hung@rehabsociety.org.hk</w:t>
        </w:r>
      </w:hyperlink>
      <w:r>
        <w:rPr>
          <w:color w:val="0462C1"/>
        </w:rPr>
        <w:tab/>
      </w:r>
      <w:r>
        <w:rPr>
          <w:rFonts w:ascii="新細明體" w:eastAsia="新細明體" w:hint="eastAsia"/>
        </w:rPr>
        <w:t>電話：</w:t>
      </w:r>
      <w:r>
        <w:rPr>
          <w:rFonts w:ascii="新細明體" w:eastAsia="新細明體" w:hint="eastAsia"/>
          <w:spacing w:val="52"/>
        </w:rPr>
        <w:t xml:space="preserve"> </w:t>
      </w:r>
      <w:r>
        <w:t>2205-6336</w:t>
      </w:r>
    </w:p>
    <w:p w:rsidR="00214939" w:rsidRDefault="00214939">
      <w:pPr>
        <w:sectPr w:rsidR="00214939">
          <w:pgSz w:w="11910" w:h="16840"/>
          <w:pgMar w:top="1400" w:right="260" w:bottom="1040" w:left="780" w:header="0" w:footer="852" w:gutter="0"/>
          <w:cols w:space="720"/>
        </w:sectPr>
      </w:pPr>
    </w:p>
    <w:p w:rsidR="00214939" w:rsidRDefault="00B95C6E">
      <w:pPr>
        <w:pStyle w:val="2"/>
        <w:ind w:left="8608"/>
      </w:pPr>
      <w:r>
        <w:lastRenderedPageBreak/>
        <w:t>附件一</w:t>
      </w:r>
    </w:p>
    <w:p w:rsidR="00214939" w:rsidRDefault="00214939">
      <w:pPr>
        <w:pStyle w:val="a3"/>
        <w:rPr>
          <w:rFonts w:ascii="新細明體"/>
          <w:i/>
        </w:rPr>
      </w:pPr>
    </w:p>
    <w:p w:rsidR="00214939" w:rsidRDefault="00B95C6E">
      <w:pPr>
        <w:pStyle w:val="3"/>
        <w:spacing w:before="66"/>
        <w:rPr>
          <w:rFonts w:ascii="Times New Roman"/>
        </w:rPr>
      </w:pPr>
      <w:r>
        <w:rPr>
          <w:rFonts w:ascii="Times New Roman"/>
        </w:rPr>
        <w:t>References</w:t>
      </w:r>
    </w:p>
    <w:p w:rsidR="00214939" w:rsidRDefault="008F6AF9">
      <w:pPr>
        <w:pStyle w:val="a3"/>
        <w:spacing w:before="7"/>
        <w:rPr>
          <w:b/>
          <w:sz w:val="14"/>
        </w:rPr>
      </w:pPr>
      <w:r>
        <w:pict>
          <v:line id="_x0000_s2055" style="position:absolute;z-index:1336;mso-wrap-distance-left:0;mso-wrap-distance-right:0;mso-position-horizontal-relative:page" from="90pt,10.8pt" to="234.05pt,10.8pt" strokeweight=".84pt">
            <w10:wrap type="topAndBottom" anchorx="page"/>
          </v:line>
        </w:pict>
      </w:r>
    </w:p>
    <w:p w:rsidR="00214939" w:rsidRDefault="00B95C6E">
      <w:pPr>
        <w:pStyle w:val="a3"/>
        <w:spacing w:before="55"/>
        <w:ind w:left="1301" w:right="1983" w:hanging="281"/>
      </w:pPr>
      <w:r>
        <w:rPr>
          <w:position w:val="9"/>
          <w:sz w:val="16"/>
        </w:rPr>
        <w:t xml:space="preserve">1 </w:t>
      </w:r>
      <w:r>
        <w:t>Lam C. (2017). Manifesto of Chief Executive Election 2017. Retrieved from: htt</w:t>
      </w:r>
      <w:hyperlink r:id="rId14">
        <w:r>
          <w:t>ps://www.c</w:t>
        </w:r>
      </w:hyperlink>
      <w:r>
        <w:t>a</w:t>
      </w:r>
      <w:hyperlink r:id="rId15">
        <w:r>
          <w:t xml:space="preserve">rrielam2017.hk/en/manifesto/. </w:t>
        </w:r>
      </w:hyperlink>
      <w:r>
        <w:t>Accessed on 13 August 2017.</w:t>
      </w:r>
    </w:p>
    <w:p w:rsidR="00214939" w:rsidRDefault="00B95C6E">
      <w:pPr>
        <w:spacing w:before="56"/>
        <w:ind w:left="1301" w:right="1717" w:hanging="281"/>
        <w:rPr>
          <w:sz w:val="24"/>
        </w:rPr>
      </w:pPr>
      <w:r>
        <w:rPr>
          <w:position w:val="9"/>
          <w:sz w:val="16"/>
        </w:rPr>
        <w:t xml:space="preserve">2 </w:t>
      </w:r>
      <w:r>
        <w:rPr>
          <w:sz w:val="24"/>
        </w:rPr>
        <w:t xml:space="preserve">United Nations. (2015) </w:t>
      </w:r>
      <w:r>
        <w:rPr>
          <w:i/>
          <w:sz w:val="24"/>
        </w:rPr>
        <w:t>Transforming our world: the 2030 Agenda for Sustainable Development</w:t>
      </w:r>
      <w:r>
        <w:rPr>
          <w:sz w:val="24"/>
        </w:rPr>
        <w:t xml:space="preserve">. Retrieved from </w:t>
      </w:r>
      <w:hyperlink r:id="rId16">
        <w:r>
          <w:rPr>
            <w:color w:val="0462C1"/>
            <w:sz w:val="24"/>
            <w:u w:val="single" w:color="0462C1"/>
          </w:rPr>
          <w:t>https://sustainabledevelopment.un.org/post2015/transformingourworld.</w:t>
        </w:r>
      </w:hyperlink>
      <w:r>
        <w:rPr>
          <w:color w:val="0462C1"/>
          <w:sz w:val="24"/>
        </w:rPr>
        <w:t>(Accessed on 28 Aug 2017)</w:t>
      </w:r>
    </w:p>
    <w:p w:rsidR="00214939" w:rsidRDefault="00B95C6E">
      <w:pPr>
        <w:pStyle w:val="a3"/>
        <w:spacing w:before="57"/>
        <w:ind w:left="1301" w:right="2208" w:hanging="281"/>
      </w:pPr>
      <w:r>
        <w:rPr>
          <w:position w:val="9"/>
          <w:sz w:val="16"/>
        </w:rPr>
        <w:t xml:space="preserve">3 </w:t>
      </w:r>
      <w:r>
        <w:t xml:space="preserve">United Nations. Sustainable Development Goals. Retrieved from </w:t>
      </w:r>
      <w:hyperlink r:id="rId17">
        <w:r>
          <w:rPr>
            <w:color w:val="0462C1"/>
            <w:u w:val="single" w:color="0462C1"/>
          </w:rPr>
          <w:t>http://www.un.org/sustainabledevelopment/sustainable-development-goals/</w:t>
        </w:r>
      </w:hyperlink>
      <w:r>
        <w:rPr>
          <w:color w:val="0462C1"/>
          <w:u w:val="single" w:color="0462C1"/>
        </w:rPr>
        <w:t>.</w:t>
      </w:r>
      <w:r>
        <w:rPr>
          <w:color w:val="0462C1"/>
        </w:rPr>
        <w:t xml:space="preserve"> (Accessed on 4 Sept 2017)</w:t>
      </w:r>
    </w:p>
    <w:p w:rsidR="00214939" w:rsidRDefault="00B95C6E">
      <w:pPr>
        <w:pStyle w:val="a3"/>
        <w:spacing w:before="58"/>
        <w:ind w:left="1301" w:right="1671" w:hanging="281"/>
      </w:pPr>
      <w:r>
        <w:rPr>
          <w:position w:val="9"/>
          <w:sz w:val="16"/>
        </w:rPr>
        <w:t xml:space="preserve">4 </w:t>
      </w:r>
      <w:r>
        <w:t xml:space="preserve">World Health Organization. Rehabilitation 2030: A Call for Action. Retrieved from </w:t>
      </w:r>
      <w:hyperlink r:id="rId18">
        <w:r>
          <w:rPr>
            <w:color w:val="0462C1"/>
            <w:u w:val="single" w:color="0462C1"/>
          </w:rPr>
          <w:t>http://www.who.int/disabilities/care/rehab-2030/en/</w:t>
        </w:r>
      </w:hyperlink>
      <w:r>
        <w:rPr>
          <w:color w:val="0462C1"/>
          <w:u w:val="single" w:color="0462C1"/>
        </w:rPr>
        <w:t>.</w:t>
      </w:r>
      <w:r>
        <w:rPr>
          <w:color w:val="0462C1"/>
        </w:rPr>
        <w:t xml:space="preserve"> (Accessed on 3 Sept 2017)</w:t>
      </w:r>
    </w:p>
    <w:p w:rsidR="00214939" w:rsidRDefault="00B95C6E">
      <w:pPr>
        <w:pStyle w:val="a3"/>
        <w:spacing w:before="56"/>
        <w:ind w:left="1301" w:right="1536" w:hanging="281"/>
      </w:pPr>
      <w:r>
        <w:rPr>
          <w:position w:val="9"/>
          <w:sz w:val="16"/>
        </w:rPr>
        <w:t xml:space="preserve">5 </w:t>
      </w:r>
      <w:r>
        <w:t xml:space="preserve">World Health Organization. Rehabilitation in health systems. Retrieved from </w:t>
      </w:r>
      <w:hyperlink r:id="rId19">
        <w:r>
          <w:rPr>
            <w:color w:val="0462C1"/>
            <w:u w:val="single" w:color="0462C1"/>
          </w:rPr>
          <w:t>http://www.who.int/disabilities/rehabilitation_health_systems/en/</w:t>
        </w:r>
      </w:hyperlink>
      <w:r>
        <w:rPr>
          <w:color w:val="0462C1"/>
          <w:u w:val="single" w:color="0462C1"/>
        </w:rPr>
        <w:t xml:space="preserve">. </w:t>
      </w:r>
      <w:r>
        <w:rPr>
          <w:color w:val="0462C1"/>
        </w:rPr>
        <w:t>(Accessed on 3 Sept 2017)</w:t>
      </w:r>
    </w:p>
    <w:p w:rsidR="00214939" w:rsidRDefault="00B95C6E">
      <w:pPr>
        <w:spacing w:before="57"/>
        <w:ind w:left="1301" w:right="1536" w:hanging="281"/>
        <w:rPr>
          <w:sz w:val="24"/>
        </w:rPr>
      </w:pPr>
      <w:r>
        <w:rPr>
          <w:position w:val="9"/>
          <w:sz w:val="16"/>
        </w:rPr>
        <w:t xml:space="preserve">6 </w:t>
      </w:r>
      <w:r>
        <w:rPr>
          <w:sz w:val="24"/>
        </w:rPr>
        <w:t xml:space="preserve">Food and Health Bureau of HKSAR Government. (2017). </w:t>
      </w:r>
      <w:r>
        <w:rPr>
          <w:i/>
          <w:sz w:val="24"/>
        </w:rPr>
        <w:t>Strategic Review on Healthcare Manpower Planning and Professional Development</w:t>
      </w:r>
      <w:r>
        <w:rPr>
          <w:sz w:val="24"/>
        </w:rPr>
        <w:t xml:space="preserve">. Retrieved from </w:t>
      </w:r>
      <w:hyperlink r:id="rId20">
        <w:r>
          <w:rPr>
            <w:color w:val="0462C1"/>
            <w:sz w:val="24"/>
            <w:u w:val="single" w:color="0462C1"/>
          </w:rPr>
          <w:t>http://www.hpdo.gov.hk/en/srreport.html</w:t>
        </w:r>
      </w:hyperlink>
    </w:p>
    <w:p w:rsidR="00214939" w:rsidRDefault="00B95C6E">
      <w:pPr>
        <w:spacing w:before="57"/>
        <w:ind w:left="1301" w:right="1536" w:hanging="281"/>
        <w:rPr>
          <w:sz w:val="24"/>
        </w:rPr>
      </w:pPr>
      <w:r>
        <w:rPr>
          <w:position w:val="9"/>
          <w:sz w:val="16"/>
        </w:rPr>
        <w:t xml:space="preserve">7 </w:t>
      </w:r>
      <w:r>
        <w:rPr>
          <w:sz w:val="24"/>
        </w:rPr>
        <w:t xml:space="preserve">Commission on Elderly. (2017). </w:t>
      </w:r>
      <w:r>
        <w:rPr>
          <w:i/>
          <w:sz w:val="24"/>
        </w:rPr>
        <w:t>Elderly Services Programme Plan</w:t>
      </w:r>
      <w:r>
        <w:rPr>
          <w:sz w:val="24"/>
        </w:rPr>
        <w:t xml:space="preserve">. Retrieved from </w:t>
      </w:r>
      <w:hyperlink r:id="rId21">
        <w:r>
          <w:rPr>
            <w:sz w:val="24"/>
          </w:rPr>
          <w:t>http://www.elderlycommission.gov.hk/en/download/library/ESPP_Final_Report_E</w:t>
        </w:r>
      </w:hyperlink>
      <w:r>
        <w:rPr>
          <w:sz w:val="24"/>
        </w:rPr>
        <w:t xml:space="preserve"> ng.pdf</w:t>
      </w:r>
    </w:p>
    <w:p w:rsidR="00214939" w:rsidRDefault="00B95C6E">
      <w:pPr>
        <w:pStyle w:val="a3"/>
        <w:spacing w:before="4" w:line="242" w:lineRule="auto"/>
        <w:ind w:left="1301" w:right="1536" w:hanging="281"/>
      </w:pPr>
      <w:r>
        <w:rPr>
          <w:rFonts w:ascii="Calibri" w:hAnsi="Calibri"/>
          <w:position w:val="8"/>
          <w:sz w:val="16"/>
        </w:rPr>
        <w:t xml:space="preserve">8 </w:t>
      </w:r>
      <w:r>
        <w:t xml:space="preserve">Ng, O. (2012). Integrated Mental Health Programme – A Proactive Approach For People With Common Mental Disorder (CMD) in Community. Retrieved from </w:t>
      </w:r>
      <w:hyperlink r:id="rId22">
        <w:r>
          <w:rPr>
            <w:color w:val="0462C1"/>
            <w:u w:val="single" w:color="0462C1"/>
          </w:rPr>
          <w:t xml:space="preserve">http://www.healthyhkec.org/SCE8/presentations/o_ng.pdf/ </w:t>
        </w:r>
      </w:hyperlink>
      <w:r>
        <w:rPr>
          <w:color w:val="0462C1"/>
          <w:u w:val="single" w:color="0462C1"/>
        </w:rPr>
        <w:t xml:space="preserve">others. </w:t>
      </w:r>
      <w:r>
        <w:rPr>
          <w:color w:val="0462C1"/>
        </w:rPr>
        <w:t>(Accessed on 3 Sept 2017)</w:t>
      </w:r>
    </w:p>
    <w:p w:rsidR="00214939" w:rsidRDefault="00B95C6E">
      <w:pPr>
        <w:pStyle w:val="a3"/>
        <w:spacing w:before="70" w:line="242" w:lineRule="auto"/>
        <w:ind w:left="1301" w:right="1724" w:hanging="281"/>
      </w:pPr>
      <w:r>
        <w:rPr>
          <w:rFonts w:ascii="Calibri"/>
          <w:position w:val="8"/>
          <w:sz w:val="16"/>
        </w:rPr>
        <w:t xml:space="preserve">9 </w:t>
      </w:r>
      <w:r>
        <w:t xml:space="preserve">Hudon, C., Chouinard, M. C., Diadiou, F., Lambert, M., &amp; Bouliane, D. (2015). Case management in primary care for frequent users of health care services with chronic diseases: a qualitative study of patient and family experience. </w:t>
      </w:r>
      <w:r>
        <w:rPr>
          <w:i/>
        </w:rPr>
        <w:t>The Annals of Family Medicine</w:t>
      </w:r>
      <w:r>
        <w:t>, 13(6), 523-528.</w:t>
      </w:r>
    </w:p>
    <w:p w:rsidR="00214939" w:rsidRDefault="00B95C6E">
      <w:pPr>
        <w:pStyle w:val="a3"/>
        <w:spacing w:line="242" w:lineRule="auto"/>
        <w:ind w:left="1301" w:right="1734" w:hanging="281"/>
        <w:jc w:val="both"/>
      </w:pPr>
      <w:r>
        <w:rPr>
          <w:rFonts w:ascii="Calibri"/>
          <w:position w:val="8"/>
          <w:sz w:val="16"/>
        </w:rPr>
        <w:t xml:space="preserve">10 </w:t>
      </w:r>
      <w:r>
        <w:t xml:space="preserve">Cheung, M. K., Chan, S. C., Hung, A. </w:t>
      </w:r>
      <w:r>
        <w:rPr>
          <w:spacing w:val="-6"/>
        </w:rPr>
        <w:t xml:space="preserve">T., </w:t>
      </w:r>
      <w:r>
        <w:t xml:space="preserve">Leung, A. </w:t>
      </w:r>
      <w:r>
        <w:rPr>
          <w:spacing w:val="-11"/>
        </w:rPr>
        <w:t xml:space="preserve">Y., </w:t>
      </w:r>
      <w:r>
        <w:t xml:space="preserve">Lee, A., Chan, </w:t>
      </w:r>
      <w:r>
        <w:rPr>
          <w:spacing w:val="-11"/>
        </w:rPr>
        <w:t xml:space="preserve">F. </w:t>
      </w:r>
      <w:r>
        <w:rPr>
          <w:spacing w:val="-7"/>
        </w:rPr>
        <w:t xml:space="preserve">W., </w:t>
      </w:r>
      <w:r>
        <w:t>...</w:t>
      </w:r>
      <w:r>
        <w:rPr>
          <w:spacing w:val="-17"/>
        </w:rPr>
        <w:t xml:space="preserve"> </w:t>
      </w:r>
      <w:r>
        <w:t>&amp; Chan, C. C. (2017). A</w:t>
      </w:r>
      <w:r>
        <w:rPr>
          <w:spacing w:val="-43"/>
        </w:rPr>
        <w:t xml:space="preserve"> </w:t>
      </w:r>
      <w:r>
        <w:t xml:space="preserve">latent profile analysis on patient empowerment programme in a Hong Kong primary care setting. </w:t>
      </w:r>
      <w:r>
        <w:rPr>
          <w:i/>
        </w:rPr>
        <w:t>Patient Education and</w:t>
      </w:r>
      <w:r>
        <w:rPr>
          <w:i/>
          <w:spacing w:val="-8"/>
        </w:rPr>
        <w:t xml:space="preserve"> </w:t>
      </w:r>
      <w:r>
        <w:rPr>
          <w:i/>
        </w:rPr>
        <w:t>Counseling</w:t>
      </w:r>
      <w:r>
        <w:t>.</w:t>
      </w:r>
    </w:p>
    <w:p w:rsidR="00214939" w:rsidRDefault="00B95C6E">
      <w:pPr>
        <w:pStyle w:val="a3"/>
        <w:spacing w:before="70" w:line="242" w:lineRule="auto"/>
        <w:ind w:left="1301" w:right="1797" w:hanging="281"/>
      </w:pPr>
      <w:r>
        <w:rPr>
          <w:rFonts w:ascii="Calibri"/>
          <w:position w:val="8"/>
          <w:sz w:val="16"/>
        </w:rPr>
        <w:t xml:space="preserve">11 </w:t>
      </w:r>
      <w:r>
        <w:rPr>
          <w:color w:val="212121"/>
        </w:rPr>
        <w:t xml:space="preserve">Wong, C. K., Wong, W. C., Wan, Y. F., Chan, A. K., Chan, F. W., &amp; Lam, C. L. (2015). Patient Empowerment Programme (PEP) and risk of microvascular diseases among patients with type 2 diabetes in primary care: a population-based propensity-matched cohort study. </w:t>
      </w:r>
      <w:r>
        <w:rPr>
          <w:i/>
          <w:color w:val="212121"/>
        </w:rPr>
        <w:t>Diabetes Care</w:t>
      </w:r>
      <w:r>
        <w:rPr>
          <w:color w:val="212121"/>
        </w:rPr>
        <w:t>,</w:t>
      </w:r>
      <w:r>
        <w:rPr>
          <w:i/>
          <w:color w:val="212121"/>
        </w:rPr>
        <w:t>38</w:t>
      </w:r>
      <w:r>
        <w:rPr>
          <w:color w:val="212121"/>
        </w:rPr>
        <w:t>(8), e116-e117.</w:t>
      </w:r>
    </w:p>
    <w:p w:rsidR="00214939" w:rsidRDefault="00B95C6E">
      <w:pPr>
        <w:pStyle w:val="a3"/>
        <w:spacing w:line="270" w:lineRule="exact"/>
        <w:ind w:left="1020"/>
        <w:rPr>
          <w:i/>
        </w:rPr>
      </w:pPr>
      <w:r>
        <w:rPr>
          <w:position w:val="9"/>
          <w:sz w:val="16"/>
        </w:rPr>
        <w:t xml:space="preserve">12 </w:t>
      </w:r>
      <w:r>
        <w:rPr>
          <w:color w:val="212121"/>
        </w:rPr>
        <w:t xml:space="preserve">Officer, A., &amp; Posarac, A. (2011). World report on disability. </w:t>
      </w:r>
      <w:r>
        <w:rPr>
          <w:i/>
          <w:color w:val="212121"/>
        </w:rPr>
        <w:t>World Health</w:t>
      </w:r>
    </w:p>
    <w:p w:rsidR="00214939" w:rsidRDefault="00B95C6E">
      <w:pPr>
        <w:ind w:left="1301"/>
        <w:rPr>
          <w:sz w:val="24"/>
        </w:rPr>
      </w:pPr>
      <w:r>
        <w:rPr>
          <w:i/>
          <w:color w:val="212121"/>
          <w:sz w:val="24"/>
        </w:rPr>
        <w:t>Organisation</w:t>
      </w:r>
      <w:r>
        <w:rPr>
          <w:color w:val="212121"/>
          <w:sz w:val="24"/>
        </w:rPr>
        <w:t>.</w:t>
      </w:r>
    </w:p>
    <w:p w:rsidR="00214939" w:rsidRDefault="00B95C6E">
      <w:pPr>
        <w:spacing w:before="57"/>
        <w:ind w:left="1301" w:right="1536" w:hanging="281"/>
        <w:rPr>
          <w:sz w:val="24"/>
        </w:rPr>
      </w:pPr>
      <w:r>
        <w:rPr>
          <w:position w:val="9"/>
          <w:sz w:val="16"/>
        </w:rPr>
        <w:t xml:space="preserve">13 </w:t>
      </w:r>
      <w:r>
        <w:rPr>
          <w:sz w:val="24"/>
        </w:rPr>
        <w:t xml:space="preserve">US Department of Health and Human Services. (2010). </w:t>
      </w:r>
      <w:r>
        <w:rPr>
          <w:i/>
          <w:sz w:val="24"/>
        </w:rPr>
        <w:t>Multiple chronic conditions—a strategic framework: optimum health and quality of life for individuals with multiple chronic conditions</w:t>
      </w:r>
      <w:r>
        <w:rPr>
          <w:sz w:val="24"/>
        </w:rPr>
        <w:t>. Washington, DC: US Department of Health and Human Services.</w:t>
      </w:r>
    </w:p>
    <w:p w:rsidR="00214939" w:rsidRDefault="00B95C6E">
      <w:pPr>
        <w:pStyle w:val="a3"/>
        <w:spacing w:before="57"/>
        <w:ind w:left="1301" w:right="1536" w:hanging="281"/>
      </w:pPr>
      <w:r>
        <w:rPr>
          <w:position w:val="9"/>
          <w:sz w:val="16"/>
        </w:rPr>
        <w:t xml:space="preserve">14 </w:t>
      </w:r>
      <w:r>
        <w:rPr>
          <w:color w:val="393939"/>
        </w:rPr>
        <w:t xml:space="preserve">Patrick J. Gallaway, Hiroji Miyake, Maciej S. Buchowski, Mieko Shimada, Yutaka Yoshitake, Angela S. Kim, &amp; Nobuko Hongu. (2017). Physical Activity: A Viable </w:t>
      </w:r>
      <w:r>
        <w:rPr>
          <w:color w:val="393939"/>
        </w:rPr>
        <w:lastRenderedPageBreak/>
        <w:t xml:space="preserve">Way to Reduce the Risks of Mild Cognitive Impairment, Alzheimer’s Disease, and Vascular Dementia in Older Adults. </w:t>
      </w:r>
      <w:r>
        <w:rPr>
          <w:i/>
          <w:color w:val="393939"/>
        </w:rPr>
        <w:t>Brain Sciences,7</w:t>
      </w:r>
      <w:r>
        <w:rPr>
          <w:color w:val="393939"/>
        </w:rPr>
        <w:t>(2), 22.</w:t>
      </w:r>
    </w:p>
    <w:bookmarkStart w:id="0" w:name="_GoBack"/>
    <w:p w:rsidR="00214939" w:rsidRDefault="008F6AF9">
      <w:pPr>
        <w:pStyle w:val="a3"/>
        <w:spacing w:line="20" w:lineRule="exact"/>
        <w:ind w:left="1011"/>
        <w:rPr>
          <w:sz w:val="2"/>
        </w:rPr>
      </w:pPr>
      <w:r>
        <w:rPr>
          <w:sz w:val="2"/>
        </w:rPr>
      </w:r>
      <w:r>
        <w:rPr>
          <w:sz w:val="2"/>
        </w:rPr>
        <w:pict>
          <v:group id="_x0000_s2053" style="width:415.4pt;height:.85pt;mso-position-horizontal-relative:char;mso-position-vertical-relative:line" coordsize="8308,17">
            <v:line id="_x0000_s2054" style="position:absolute" from="0,8" to="8308,8" strokeweight=".84pt"/>
            <w10:anchorlock/>
          </v:group>
        </w:pict>
      </w:r>
      <w:bookmarkEnd w:id="0"/>
    </w:p>
    <w:p w:rsidR="00214939" w:rsidRDefault="00B95C6E">
      <w:pPr>
        <w:spacing w:before="91"/>
        <w:ind w:left="1301" w:right="1536" w:hanging="281"/>
        <w:rPr>
          <w:sz w:val="24"/>
        </w:rPr>
      </w:pPr>
      <w:r>
        <w:rPr>
          <w:position w:val="9"/>
          <w:sz w:val="16"/>
        </w:rPr>
        <w:t xml:space="preserve">15 </w:t>
      </w:r>
      <w:r>
        <w:rPr>
          <w:color w:val="212121"/>
          <w:sz w:val="24"/>
        </w:rPr>
        <w:t xml:space="preserve">Peterson, M. J., Giuliani, C., Morey, M. C., Pieper, C. F., Evenson, K. R., Mercer, V., ... &amp; Goodpaster, B. H. (2009). Physical activity as a preventative factor for frailty: the health, aging, and body composition study. </w:t>
      </w:r>
      <w:r>
        <w:rPr>
          <w:i/>
          <w:color w:val="212121"/>
          <w:sz w:val="24"/>
        </w:rPr>
        <w:t>Journals of Gerontology Series A: Biomedical Sciences and Medical Sciences</w:t>
      </w:r>
      <w:r>
        <w:rPr>
          <w:color w:val="212121"/>
          <w:sz w:val="24"/>
        </w:rPr>
        <w:t xml:space="preserve">, </w:t>
      </w:r>
      <w:r>
        <w:rPr>
          <w:i/>
          <w:color w:val="212121"/>
          <w:sz w:val="24"/>
        </w:rPr>
        <w:t>64</w:t>
      </w:r>
      <w:r>
        <w:rPr>
          <w:color w:val="212121"/>
          <w:sz w:val="24"/>
        </w:rPr>
        <w:t>(1), 61-68.</w:t>
      </w:r>
    </w:p>
    <w:p w:rsidR="00214939" w:rsidRDefault="00B95C6E">
      <w:pPr>
        <w:pStyle w:val="a3"/>
        <w:spacing w:before="57"/>
        <w:ind w:left="1020"/>
      </w:pPr>
      <w:r>
        <w:rPr>
          <w:position w:val="9"/>
          <w:sz w:val="16"/>
        </w:rPr>
        <w:t xml:space="preserve">16 </w:t>
      </w:r>
      <w:r>
        <w:rPr>
          <w:color w:val="212121"/>
        </w:rPr>
        <w:t>da Câmara, S. M. A., Alvarado, B. E., Guralnik, J. M., Guerra, R. O., &amp; Maciel, Á .</w:t>
      </w:r>
    </w:p>
    <w:p w:rsidR="00214939" w:rsidRDefault="00B95C6E">
      <w:pPr>
        <w:spacing w:before="9" w:line="230" w:lineRule="auto"/>
        <w:ind w:left="1301" w:right="1630"/>
        <w:jc w:val="both"/>
        <w:rPr>
          <w:sz w:val="24"/>
        </w:rPr>
      </w:pPr>
      <w:r>
        <w:rPr>
          <w:color w:val="212121"/>
          <w:sz w:val="24"/>
        </w:rPr>
        <w:t>C. C. (2013). Using the Short Physical Performance Battery to screen for frailty in young</w:t>
      </w:r>
      <w:r>
        <w:rPr>
          <w:rFonts w:ascii="新細明體" w:hAnsi="新細明體"/>
          <w:color w:val="212121"/>
          <w:sz w:val="24"/>
        </w:rPr>
        <w:t>‐</w:t>
      </w:r>
      <w:r>
        <w:rPr>
          <w:color w:val="212121"/>
          <w:sz w:val="24"/>
        </w:rPr>
        <w:t>old adults with distinct socioeconomic conditions.</w:t>
      </w:r>
      <w:r>
        <w:rPr>
          <w:i/>
          <w:color w:val="212121"/>
          <w:sz w:val="24"/>
        </w:rPr>
        <w:t>Geriatrics &amp;</w:t>
      </w:r>
      <w:r>
        <w:rPr>
          <w:i/>
          <w:color w:val="212121"/>
          <w:spacing w:val="-17"/>
          <w:sz w:val="24"/>
        </w:rPr>
        <w:t xml:space="preserve"> </w:t>
      </w:r>
      <w:r>
        <w:rPr>
          <w:i/>
          <w:color w:val="212121"/>
          <w:sz w:val="24"/>
        </w:rPr>
        <w:t>gerontology international</w:t>
      </w:r>
      <w:r>
        <w:rPr>
          <w:color w:val="212121"/>
          <w:sz w:val="24"/>
        </w:rPr>
        <w:t xml:space="preserve">, </w:t>
      </w:r>
      <w:r>
        <w:rPr>
          <w:i/>
          <w:color w:val="212121"/>
          <w:sz w:val="24"/>
        </w:rPr>
        <w:t>13</w:t>
      </w:r>
      <w:r>
        <w:rPr>
          <w:color w:val="212121"/>
          <w:sz w:val="24"/>
        </w:rPr>
        <w:t>(2),</w:t>
      </w:r>
      <w:r>
        <w:rPr>
          <w:color w:val="212121"/>
          <w:spacing w:val="-1"/>
          <w:sz w:val="24"/>
        </w:rPr>
        <w:t xml:space="preserve"> </w:t>
      </w:r>
      <w:r>
        <w:rPr>
          <w:color w:val="212121"/>
          <w:sz w:val="24"/>
        </w:rPr>
        <w:t>421-428.</w:t>
      </w:r>
    </w:p>
    <w:p w:rsidR="00214939" w:rsidRDefault="00B95C6E">
      <w:pPr>
        <w:pStyle w:val="a3"/>
        <w:spacing w:before="60"/>
        <w:ind w:left="1301" w:right="1536" w:hanging="281"/>
      </w:pPr>
      <w:r>
        <w:rPr>
          <w:position w:val="9"/>
          <w:sz w:val="16"/>
        </w:rPr>
        <w:t xml:space="preserve">17 </w:t>
      </w:r>
      <w:r>
        <w:t xml:space="preserve">Hospital Authority of HKSAR Government. (2017). Strategic Service Framework for Palliative Care. Retrieved from </w:t>
      </w:r>
      <w:hyperlink r:id="rId23">
        <w:r>
          <w:rPr>
            <w:color w:val="0462C1"/>
            <w:u w:val="single" w:color="0462C1"/>
          </w:rPr>
          <w:t>https://www.ha.org.hk/upload/publication_42/533.pdf</w:t>
        </w:r>
      </w:hyperlink>
    </w:p>
    <w:p w:rsidR="00214939" w:rsidRDefault="00B95C6E">
      <w:pPr>
        <w:spacing w:before="57"/>
        <w:ind w:left="1301" w:right="1536" w:hanging="281"/>
        <w:rPr>
          <w:sz w:val="24"/>
        </w:rPr>
      </w:pPr>
      <w:r>
        <w:rPr>
          <w:position w:val="9"/>
          <w:sz w:val="16"/>
        </w:rPr>
        <w:t xml:space="preserve">18 </w:t>
      </w:r>
      <w:r>
        <w:rPr>
          <w:color w:val="2F2F2F"/>
          <w:sz w:val="24"/>
        </w:rPr>
        <w:t>Enard, K. R., &amp; Ganelin, D. M. (2013). Reducing Preventable Emergency Department Utilization and Costs by Using Community Health Workers as Patient Navigators.</w:t>
      </w:r>
      <w:r>
        <w:rPr>
          <w:i/>
          <w:color w:val="2F2F2F"/>
          <w:sz w:val="24"/>
        </w:rPr>
        <w:t>Journal of Healthcare Management / American College of Healthcare Executives</w:t>
      </w:r>
      <w:r>
        <w:rPr>
          <w:color w:val="2F2F2F"/>
          <w:sz w:val="24"/>
        </w:rPr>
        <w:t>,</w:t>
      </w:r>
      <w:r>
        <w:rPr>
          <w:i/>
          <w:color w:val="2F2F2F"/>
          <w:sz w:val="24"/>
        </w:rPr>
        <w:t>58</w:t>
      </w:r>
      <w:r>
        <w:rPr>
          <w:color w:val="2F2F2F"/>
          <w:sz w:val="24"/>
        </w:rPr>
        <w:t>(6), 412–428.</w:t>
      </w:r>
    </w:p>
    <w:p w:rsidR="00214939" w:rsidRDefault="00B95C6E">
      <w:pPr>
        <w:pStyle w:val="a3"/>
        <w:spacing w:before="57"/>
        <w:ind w:left="1301" w:right="1591" w:hanging="281"/>
      </w:pPr>
      <w:r>
        <w:rPr>
          <w:position w:val="9"/>
          <w:sz w:val="16"/>
        </w:rPr>
        <w:t xml:space="preserve">19 </w:t>
      </w:r>
      <w:r>
        <w:rPr>
          <w:color w:val="393939"/>
        </w:rPr>
        <w:t>Litzelman, D. K., Inui, T. S., Griffin, W. J., Perkins, A. H., Cottingham, A. M., Schmitt-Wendholt, K., &amp; Ivy, S. (2017). Impact of Community Health Workers on Elderly Patients’ Advance Care Planning and Health Care Utilization: Moving the Dial.</w:t>
      </w:r>
      <w:r>
        <w:rPr>
          <w:i/>
          <w:color w:val="393939"/>
        </w:rPr>
        <w:t>Medical Care,55</w:t>
      </w:r>
      <w:r>
        <w:rPr>
          <w:color w:val="393939"/>
        </w:rPr>
        <w:t>(4), 319-326.</w:t>
      </w:r>
    </w:p>
    <w:p w:rsidR="00214939" w:rsidRDefault="00B95C6E">
      <w:pPr>
        <w:spacing w:before="56"/>
        <w:ind w:left="1301" w:right="1610" w:hanging="281"/>
        <w:rPr>
          <w:sz w:val="24"/>
        </w:rPr>
      </w:pPr>
      <w:r>
        <w:rPr>
          <w:position w:val="9"/>
          <w:sz w:val="16"/>
        </w:rPr>
        <w:t xml:space="preserve">20 </w:t>
      </w:r>
      <w:r>
        <w:rPr>
          <w:sz w:val="24"/>
        </w:rPr>
        <w:t xml:space="preserve">Hospital Authority and Social Welfare Department of HKSAR Government. </w:t>
      </w:r>
      <w:r>
        <w:rPr>
          <w:i/>
          <w:sz w:val="24"/>
        </w:rPr>
        <w:t>Service Framework of Personalised Care for Adults with Severe Mental Illness in Hong Kong</w:t>
      </w:r>
      <w:r>
        <w:rPr>
          <w:sz w:val="24"/>
        </w:rPr>
        <w:t xml:space="preserve">. Retrieved from </w:t>
      </w:r>
      <w:hyperlink r:id="rId24">
        <w:r>
          <w:rPr>
            <w:color w:val="0462C1"/>
            <w:sz w:val="24"/>
            <w:u w:val="single" w:color="0462C1"/>
          </w:rPr>
          <w:t>https://www.ha.org.hk/upload/publication_42/513.pdf</w:t>
        </w:r>
      </w:hyperlink>
    </w:p>
    <w:p w:rsidR="00214939" w:rsidRDefault="00B95C6E">
      <w:pPr>
        <w:pStyle w:val="a3"/>
        <w:spacing w:before="58"/>
        <w:ind w:left="1301" w:right="1818" w:hanging="281"/>
      </w:pPr>
      <w:r>
        <w:rPr>
          <w:position w:val="9"/>
          <w:sz w:val="16"/>
        </w:rPr>
        <w:t xml:space="preserve">21 </w:t>
      </w:r>
      <w:r>
        <w:t xml:space="preserve">Legislative Council of HKSAR Government. (2017). Community Mental Health Services and Related Welfare Issues. Retrieved from </w:t>
      </w:r>
      <w:hyperlink r:id="rId25">
        <w:r>
          <w:rPr>
            <w:color w:val="0462C1"/>
            <w:u w:val="single" w:color="0462C1"/>
          </w:rPr>
          <w:t>http://www.legco.gov.hk/yr16-17/english/panels/ws/papers/hsws20170224cb2-</w:t>
        </w:r>
      </w:hyperlink>
      <w:r>
        <w:rPr>
          <w:color w:val="0462C1"/>
        </w:rPr>
        <w:t xml:space="preserve"> </w:t>
      </w:r>
      <w:hyperlink r:id="rId26">
        <w:r>
          <w:rPr>
            <w:color w:val="0462C1"/>
            <w:u w:val="single" w:color="0462C1"/>
          </w:rPr>
          <w:t>884-1-e.pdf</w:t>
        </w:r>
      </w:hyperlink>
    </w:p>
    <w:p w:rsidR="00214939" w:rsidRDefault="00B95C6E">
      <w:pPr>
        <w:pStyle w:val="a3"/>
        <w:spacing w:before="56"/>
        <w:ind w:left="1301" w:right="1536" w:hanging="281"/>
      </w:pPr>
      <w:r>
        <w:rPr>
          <w:position w:val="9"/>
          <w:sz w:val="16"/>
        </w:rPr>
        <w:t xml:space="preserve">22 </w:t>
      </w:r>
      <w:r>
        <w:t xml:space="preserve">World Health Organisation. (2001). International Classification of Functioning, Disability and Health. Retrieved from </w:t>
      </w:r>
      <w:hyperlink r:id="rId27">
        <w:r>
          <w:rPr>
            <w:u w:val="single"/>
          </w:rPr>
          <w:t>http://apps.who.int/iris/bitstream/10665/42407/1/9241545429.pdf</w:t>
        </w:r>
      </w:hyperlink>
    </w:p>
    <w:p w:rsidR="00214939" w:rsidRDefault="00B95C6E">
      <w:pPr>
        <w:spacing w:before="57"/>
        <w:ind w:left="1301" w:right="1535" w:hanging="281"/>
        <w:jc w:val="both"/>
        <w:rPr>
          <w:sz w:val="24"/>
        </w:rPr>
      </w:pPr>
      <w:r>
        <w:rPr>
          <w:position w:val="9"/>
          <w:sz w:val="16"/>
        </w:rPr>
        <w:t xml:space="preserve">23 </w:t>
      </w:r>
      <w:r>
        <w:rPr>
          <w:sz w:val="24"/>
        </w:rPr>
        <w:t xml:space="preserve">Census and Statistic Department of HKSAR Government. (2014). </w:t>
      </w:r>
      <w:r>
        <w:rPr>
          <w:i/>
          <w:sz w:val="24"/>
        </w:rPr>
        <w:t xml:space="preserve">Special </w:t>
      </w:r>
      <w:r>
        <w:rPr>
          <w:i/>
          <w:spacing w:val="-4"/>
          <w:sz w:val="24"/>
        </w:rPr>
        <w:t>Topics</w:t>
      </w:r>
      <w:r>
        <w:rPr>
          <w:i/>
          <w:spacing w:val="51"/>
          <w:sz w:val="24"/>
        </w:rPr>
        <w:t xml:space="preserve"> </w:t>
      </w:r>
      <w:r>
        <w:rPr>
          <w:i/>
          <w:sz w:val="24"/>
        </w:rPr>
        <w:t>Report  No.62:  Persons  with  disabilities  and  chronic  diseases</w:t>
      </w:r>
      <w:r>
        <w:rPr>
          <w:sz w:val="24"/>
        </w:rPr>
        <w:t>.   Retrieved  from</w:t>
      </w:r>
      <w:r>
        <w:rPr>
          <w:spacing w:val="51"/>
          <w:sz w:val="24"/>
        </w:rPr>
        <w:t xml:space="preserve"> </w:t>
      </w:r>
      <w:hyperlink r:id="rId28">
        <w:r>
          <w:rPr>
            <w:color w:val="1154CC"/>
            <w:sz w:val="24"/>
            <w:u w:val="single" w:color="1154CC"/>
          </w:rPr>
          <w:t>http://www.statistics.gov.hk/pub/B11301622014XXXXB0100.pdf</w:t>
        </w:r>
      </w:hyperlink>
    </w:p>
    <w:p w:rsidR="00214939" w:rsidRDefault="00B95C6E">
      <w:pPr>
        <w:spacing w:before="58"/>
        <w:ind w:left="1301" w:right="1536" w:hanging="281"/>
        <w:rPr>
          <w:sz w:val="24"/>
        </w:rPr>
      </w:pPr>
      <w:r>
        <w:rPr>
          <w:position w:val="9"/>
          <w:sz w:val="16"/>
        </w:rPr>
        <w:t xml:space="preserve">24 </w:t>
      </w:r>
      <w:r>
        <w:rPr>
          <w:color w:val="212121"/>
          <w:sz w:val="24"/>
        </w:rPr>
        <w:t xml:space="preserve">Census and Statistics Department. (2014). </w:t>
      </w:r>
      <w:r>
        <w:rPr>
          <w:i/>
          <w:color w:val="212121"/>
          <w:sz w:val="24"/>
        </w:rPr>
        <w:t xml:space="preserve">Hong Kong Poverty Situation Report on Disability. </w:t>
      </w:r>
      <w:r>
        <w:rPr>
          <w:color w:val="212121"/>
          <w:sz w:val="24"/>
        </w:rPr>
        <w:t xml:space="preserve">Retrieved from </w:t>
      </w:r>
      <w:hyperlink r:id="rId29">
        <w:r>
          <w:rPr>
            <w:color w:val="0462C1"/>
            <w:sz w:val="24"/>
            <w:u w:val="single" w:color="0462C1"/>
          </w:rPr>
          <w:t>https://www.povertyrelief.gov.hk/eng/pdf/Hong_Kong_Poverty_Situation_Report_</w:t>
        </w:r>
      </w:hyperlink>
      <w:r>
        <w:rPr>
          <w:color w:val="0462C1"/>
          <w:sz w:val="24"/>
        </w:rPr>
        <w:t xml:space="preserve"> </w:t>
      </w:r>
      <w:hyperlink r:id="rId30">
        <w:r>
          <w:rPr>
            <w:color w:val="0462C1"/>
            <w:sz w:val="24"/>
            <w:u w:val="single" w:color="0462C1"/>
          </w:rPr>
          <w:t>on_Disability_2013(E).pdf</w:t>
        </w:r>
        <w:r>
          <w:rPr>
            <w:color w:val="212121"/>
            <w:sz w:val="24"/>
          </w:rPr>
          <w:t>.</w:t>
        </w:r>
      </w:hyperlink>
    </w:p>
    <w:p w:rsidR="00214939" w:rsidRDefault="00B95C6E">
      <w:pPr>
        <w:pStyle w:val="a3"/>
        <w:spacing w:before="56"/>
        <w:ind w:left="1301" w:right="1536" w:hanging="281"/>
      </w:pPr>
      <w:r>
        <w:rPr>
          <w:position w:val="9"/>
          <w:sz w:val="16"/>
        </w:rPr>
        <w:t xml:space="preserve">25 </w:t>
      </w:r>
      <w:r>
        <w:t xml:space="preserve">Labour and Welfare Bureau. (2017) Over 500 organisations support movement for employment of persons with disabilities. Retrieved from </w:t>
      </w:r>
      <w:hyperlink r:id="rId31">
        <w:r>
          <w:rPr>
            <w:color w:val="0462C1"/>
            <w:u w:val="single" w:color="0462C1"/>
          </w:rPr>
          <w:t>http://www.lwb.gov.hk/chi/press/13032017_3.htm</w:t>
        </w:r>
      </w:hyperlink>
    </w:p>
    <w:p w:rsidR="00214939" w:rsidRDefault="00B95C6E">
      <w:pPr>
        <w:pStyle w:val="a3"/>
        <w:spacing w:before="68" w:line="249" w:lineRule="auto"/>
        <w:ind w:left="1301" w:right="1536" w:hanging="281"/>
      </w:pPr>
      <w:r>
        <w:rPr>
          <w:rFonts w:ascii="新細明體"/>
          <w:position w:val="12"/>
          <w:sz w:val="12"/>
        </w:rPr>
        <w:t xml:space="preserve">26 </w:t>
      </w:r>
      <w:r>
        <w:t xml:space="preserve">Commerce and Economic Development Bureau. Tourism. Retrieved from </w:t>
      </w:r>
      <w:hyperlink r:id="rId32">
        <w:r>
          <w:t>http://www.cedb.gov.hk/citb/tc/Policy_Responsibilities/tourism.html</w:t>
        </w:r>
      </w:hyperlink>
      <w:r>
        <w:t>. (Retrieved Accessed on 6 Sept 2017).</w:t>
      </w:r>
    </w:p>
    <w:p w:rsidR="00214939" w:rsidRDefault="00B95C6E">
      <w:pPr>
        <w:pStyle w:val="a3"/>
        <w:spacing w:line="267" w:lineRule="exact"/>
        <w:ind w:left="1020"/>
      </w:pPr>
      <w:r>
        <w:rPr>
          <w:position w:val="9"/>
          <w:sz w:val="16"/>
        </w:rPr>
        <w:t xml:space="preserve">27 </w:t>
      </w:r>
      <w:r>
        <w:t>Travel Commission. Vision and Strategy. Retrieved from</w:t>
      </w:r>
    </w:p>
    <w:p w:rsidR="00214939" w:rsidRDefault="008F6AF9">
      <w:pPr>
        <w:pStyle w:val="a3"/>
        <w:ind w:left="1301"/>
      </w:pPr>
      <w:r>
        <w:pict>
          <v:rect id="_x0000_s2052" style="position:absolute;left:0;text-align:left;margin-left:357.2pt;margin-top:12.5pt;width:3pt;height:.6pt;z-index:1384;mso-position-horizontal-relative:page" fillcolor="#0462c1" stroked="f">
            <w10:wrap anchorx="page"/>
          </v:rect>
        </w:pict>
      </w:r>
      <w:hyperlink r:id="rId33">
        <w:r w:rsidR="00B95C6E">
          <w:t xml:space="preserve">http://www.tourism.gov.hk/english/about/abt_vision. </w:t>
        </w:r>
      </w:hyperlink>
      <w:r w:rsidR="00B95C6E">
        <w:rPr>
          <w:color w:val="0462C1"/>
        </w:rPr>
        <w:t>(Accessed on 3 Sept 2017)</w:t>
      </w:r>
    </w:p>
    <w:p w:rsidR="00214939" w:rsidRDefault="00B95C6E">
      <w:pPr>
        <w:spacing w:before="58"/>
        <w:ind w:left="1301" w:right="1536" w:hanging="281"/>
        <w:rPr>
          <w:sz w:val="24"/>
        </w:rPr>
      </w:pPr>
      <w:r>
        <w:rPr>
          <w:position w:val="9"/>
          <w:sz w:val="16"/>
        </w:rPr>
        <w:t xml:space="preserve">28 </w:t>
      </w:r>
      <w:r>
        <w:rPr>
          <w:sz w:val="24"/>
        </w:rPr>
        <w:t xml:space="preserve">Frye, A. (2015). </w:t>
      </w:r>
      <w:r>
        <w:rPr>
          <w:i/>
          <w:sz w:val="24"/>
        </w:rPr>
        <w:t xml:space="preserve">Capitalising on the grey-haired globetrotters: Economic aspects of </w:t>
      </w:r>
      <w:r>
        <w:rPr>
          <w:i/>
          <w:sz w:val="24"/>
        </w:rPr>
        <w:lastRenderedPageBreak/>
        <w:t>increasing tourism among older and disabled people</w:t>
      </w:r>
      <w:r>
        <w:rPr>
          <w:sz w:val="24"/>
        </w:rPr>
        <w:t>. Paris: Organisation for Economic Cooperation and Development (OECD).</w:t>
      </w:r>
    </w:p>
    <w:p w:rsidR="00214939" w:rsidRDefault="00214939">
      <w:pPr>
        <w:rPr>
          <w:sz w:val="24"/>
        </w:rPr>
        <w:sectPr w:rsidR="00214939">
          <w:pgSz w:w="11910" w:h="16840"/>
          <w:pgMar w:top="1580" w:right="260" w:bottom="1040" w:left="780" w:header="0" w:footer="852" w:gutter="0"/>
          <w:cols w:space="720"/>
        </w:sectPr>
      </w:pPr>
    </w:p>
    <w:p w:rsidR="00214939" w:rsidRDefault="008F6AF9">
      <w:pPr>
        <w:pStyle w:val="a3"/>
        <w:spacing w:line="20" w:lineRule="exact"/>
        <w:ind w:left="1011"/>
        <w:rPr>
          <w:sz w:val="2"/>
        </w:rPr>
      </w:pPr>
      <w:r>
        <w:rPr>
          <w:sz w:val="2"/>
        </w:rPr>
      </w:r>
      <w:r>
        <w:rPr>
          <w:sz w:val="2"/>
        </w:rPr>
        <w:pict>
          <v:group id="_x0000_s2050" style="width:415.4pt;height:.85pt;mso-position-horizontal-relative:char;mso-position-vertical-relative:line" coordsize="8308,17">
            <v:line id="_x0000_s2051" style="position:absolute" from="0,8" to="8308,8" strokeweight=".84pt"/>
            <w10:anchorlock/>
          </v:group>
        </w:pict>
      </w:r>
    </w:p>
    <w:p w:rsidR="00214939" w:rsidRDefault="00B95C6E">
      <w:pPr>
        <w:spacing w:before="91"/>
        <w:ind w:left="1301" w:right="1916" w:hanging="281"/>
        <w:rPr>
          <w:sz w:val="24"/>
        </w:rPr>
      </w:pPr>
      <w:r>
        <w:rPr>
          <w:position w:val="9"/>
          <w:sz w:val="16"/>
        </w:rPr>
        <w:t xml:space="preserve">29 </w:t>
      </w:r>
      <w:r>
        <w:rPr>
          <w:sz w:val="24"/>
        </w:rPr>
        <w:t xml:space="preserve">Gheno I. (2015). </w:t>
      </w:r>
      <w:r>
        <w:rPr>
          <w:i/>
          <w:sz w:val="24"/>
        </w:rPr>
        <w:t>Report on Senior Tourists needs and demands</w:t>
      </w:r>
      <w:r>
        <w:rPr>
          <w:sz w:val="24"/>
        </w:rPr>
        <w:t xml:space="preserve">. Retrieved from </w:t>
      </w:r>
      <w:hyperlink r:id="rId34">
        <w:r>
          <w:rPr>
            <w:color w:val="0462C1"/>
            <w:sz w:val="24"/>
            <w:u w:val="single" w:color="0462C1"/>
          </w:rPr>
          <w:t>http://www.age-</w:t>
        </w:r>
      </w:hyperlink>
      <w:r>
        <w:rPr>
          <w:color w:val="0462C1"/>
          <w:sz w:val="24"/>
        </w:rPr>
        <w:t xml:space="preserve"> </w:t>
      </w:r>
      <w:hyperlink r:id="rId35">
        <w:r>
          <w:rPr>
            <w:color w:val="0462C1"/>
            <w:sz w:val="24"/>
            <w:u w:val="single" w:color="0462C1"/>
          </w:rPr>
          <w:t>platform.eu/images/ESCAPE_Needs_and_expectations_FINAL.pd</w:t>
        </w:r>
      </w:hyperlink>
      <w:r>
        <w:rPr>
          <w:color w:val="0462C1"/>
          <w:sz w:val="24"/>
          <w:u w:val="single" w:color="0462C1"/>
        </w:rPr>
        <w:t xml:space="preserve">f </w:t>
      </w:r>
    </w:p>
    <w:p w:rsidR="00214939" w:rsidRDefault="00B95C6E">
      <w:pPr>
        <w:pStyle w:val="a3"/>
        <w:spacing w:before="57"/>
        <w:ind w:left="1301" w:right="1922" w:hanging="281"/>
      </w:pPr>
      <w:r>
        <w:rPr>
          <w:position w:val="9"/>
          <w:sz w:val="16"/>
        </w:rPr>
        <w:t xml:space="preserve">30 </w:t>
      </w:r>
      <w:r>
        <w:t xml:space="preserve">United Nations. Promoting accessible tourism for all. Retrieved from </w:t>
      </w:r>
      <w:hyperlink r:id="rId36">
        <w:r>
          <w:rPr>
            <w:color w:val="0462C1"/>
            <w:u w:val="single" w:color="0462C1"/>
          </w:rPr>
          <w:t>https://www.un.org/development/desa/disabilities/issues/promoting-accessible-</w:t>
        </w:r>
      </w:hyperlink>
      <w:r>
        <w:rPr>
          <w:color w:val="0462C1"/>
        </w:rPr>
        <w:t xml:space="preserve"> </w:t>
      </w:r>
      <w:hyperlink r:id="rId37">
        <w:r>
          <w:rPr>
            <w:color w:val="0462C1"/>
            <w:u w:val="single" w:color="0462C1"/>
          </w:rPr>
          <w:t>tourism-for-all.html</w:t>
        </w:r>
      </w:hyperlink>
      <w:r>
        <w:rPr>
          <w:color w:val="0462C1"/>
          <w:u w:val="single" w:color="0462C1"/>
        </w:rPr>
        <w:t xml:space="preserve">. </w:t>
      </w:r>
    </w:p>
    <w:p w:rsidR="00214939" w:rsidRDefault="00B95C6E">
      <w:pPr>
        <w:spacing w:before="57"/>
        <w:ind w:left="1301" w:right="2134" w:hanging="281"/>
        <w:rPr>
          <w:sz w:val="24"/>
        </w:rPr>
      </w:pPr>
      <w:r>
        <w:rPr>
          <w:position w:val="9"/>
          <w:sz w:val="16"/>
        </w:rPr>
        <w:t xml:space="preserve">31 </w:t>
      </w:r>
      <w:r>
        <w:rPr>
          <w:sz w:val="24"/>
        </w:rPr>
        <w:t xml:space="preserve">United Nation. (2017). </w:t>
      </w:r>
      <w:r>
        <w:rPr>
          <w:i/>
          <w:sz w:val="24"/>
        </w:rPr>
        <w:t>Disaster Inclusion Disability-Inclusive Disaster Risk Reduction and Emergency Situations</w:t>
      </w:r>
      <w:r>
        <w:rPr>
          <w:sz w:val="24"/>
        </w:rPr>
        <w:t xml:space="preserve">. Retrieved from: </w:t>
      </w:r>
      <w:hyperlink r:id="rId38">
        <w:r>
          <w:rPr>
            <w:color w:val="0462C1"/>
            <w:sz w:val="24"/>
            <w:u w:val="single" w:color="0462C1"/>
          </w:rPr>
          <w:t>https://www.un.org/development/desa/disabilities/issues/disability-inclusive-</w:t>
        </w:r>
      </w:hyperlink>
      <w:r>
        <w:rPr>
          <w:color w:val="0462C1"/>
          <w:sz w:val="24"/>
        </w:rPr>
        <w:t xml:space="preserve"> </w:t>
      </w:r>
      <w:hyperlink r:id="rId39">
        <w:r>
          <w:rPr>
            <w:color w:val="0462C1"/>
            <w:sz w:val="24"/>
            <w:u w:val="single" w:color="0462C1"/>
          </w:rPr>
          <w:t>disaster-risk-reduction-and-emergency-situations.html</w:t>
        </w:r>
      </w:hyperlink>
    </w:p>
    <w:sectPr w:rsidR="00214939">
      <w:pgSz w:w="11910" w:h="16840"/>
      <w:pgMar w:top="1580" w:right="260" w:bottom="1040" w:left="780" w:header="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DE" w:rsidRDefault="00B95C6E">
      <w:r>
        <w:separator/>
      </w:r>
    </w:p>
  </w:endnote>
  <w:endnote w:type="continuationSeparator" w:id="0">
    <w:p w:rsidR="004803DE" w:rsidRDefault="00B9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altName w:val="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39" w:rsidRDefault="008F6AF9">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94.15pt;margin-top:787.15pt;width:7pt;height:13.05pt;z-index:-12568;mso-position-horizontal-relative:page;mso-position-vertical-relative:page" filled="f" stroked="f">
          <v:textbox inset="0,0,0,0">
            <w:txbxContent>
              <w:p w:rsidR="00214939" w:rsidRDefault="00B95C6E">
                <w:pPr>
                  <w:spacing w:before="10"/>
                  <w:ind w:left="20"/>
                  <w:rPr>
                    <w:sz w:val="20"/>
                  </w:rPr>
                </w:pPr>
                <w:r>
                  <w:rPr>
                    <w:w w:val="99"/>
                    <w:sz w:val="20"/>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39" w:rsidRDefault="0021493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39" w:rsidRDefault="008F6AF9">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0.6pt;margin-top:787.15pt;width:14.1pt;height:13.15pt;z-index:-12544;mso-position-horizontal-relative:page;mso-position-vertical-relative:page" filled="f" stroked="f">
          <v:textbox inset="0,0,0,0">
            <w:txbxContent>
              <w:p w:rsidR="00214939" w:rsidRDefault="00B95C6E">
                <w:pPr>
                  <w:spacing w:before="2"/>
                  <w:ind w:left="40"/>
                  <w:rPr>
                    <w:rFonts w:ascii="Calibri"/>
                    <w:sz w:val="20"/>
                  </w:rPr>
                </w:pPr>
                <w:r>
                  <w:fldChar w:fldCharType="begin"/>
                </w:r>
                <w:r>
                  <w:rPr>
                    <w:rFonts w:ascii="Calibri"/>
                    <w:sz w:val="20"/>
                  </w:rPr>
                  <w:instrText xml:space="preserve"> PAGE </w:instrText>
                </w:r>
                <w:r>
                  <w:fldChar w:fldCharType="separate"/>
                </w:r>
                <w:r w:rsidR="008F6AF9">
                  <w:rPr>
                    <w:rFonts w:ascii="Calibri"/>
                    <w:noProof/>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DE" w:rsidRDefault="00B95C6E">
      <w:r>
        <w:separator/>
      </w:r>
    </w:p>
  </w:footnote>
  <w:footnote w:type="continuationSeparator" w:id="0">
    <w:p w:rsidR="004803DE" w:rsidRDefault="00B95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8CA"/>
    <w:multiLevelType w:val="multilevel"/>
    <w:tmpl w:val="3F087C8C"/>
    <w:lvl w:ilvl="0">
      <w:start w:val="2"/>
      <w:numFmt w:val="decimal"/>
      <w:lvlText w:val="%1"/>
      <w:lvlJc w:val="left"/>
      <w:pPr>
        <w:ind w:left="1445" w:hanging="420"/>
        <w:jc w:val="left"/>
      </w:pPr>
      <w:rPr>
        <w:rFonts w:hint="default"/>
        <w:lang w:val="zh-HK" w:eastAsia="zh-HK" w:bidi="zh-HK"/>
      </w:rPr>
    </w:lvl>
    <w:lvl w:ilvl="1">
      <w:start w:val="1"/>
      <w:numFmt w:val="decimal"/>
      <w:lvlText w:val="%1.%2"/>
      <w:lvlJc w:val="left"/>
      <w:pPr>
        <w:ind w:left="1445" w:hanging="420"/>
        <w:jc w:val="left"/>
      </w:pPr>
      <w:rPr>
        <w:rFonts w:ascii="Times New Roman" w:eastAsia="Times New Roman" w:hAnsi="Times New Roman" w:cs="Times New Roman" w:hint="default"/>
        <w:b/>
        <w:bCs/>
        <w:spacing w:val="-8"/>
        <w:w w:val="99"/>
        <w:sz w:val="24"/>
        <w:szCs w:val="24"/>
        <w:lang w:val="zh-HK" w:eastAsia="zh-HK" w:bidi="zh-HK"/>
      </w:rPr>
    </w:lvl>
    <w:lvl w:ilvl="2">
      <w:numFmt w:val="bullet"/>
      <w:lvlText w:val=""/>
      <w:lvlJc w:val="left"/>
      <w:pPr>
        <w:ind w:left="2011" w:hanging="567"/>
      </w:pPr>
      <w:rPr>
        <w:rFonts w:ascii="Wingdings" w:eastAsia="Wingdings" w:hAnsi="Wingdings" w:cs="Wingdings" w:hint="default"/>
        <w:w w:val="100"/>
        <w:sz w:val="24"/>
        <w:szCs w:val="24"/>
        <w:lang w:val="zh-HK" w:eastAsia="zh-HK" w:bidi="zh-HK"/>
      </w:rPr>
    </w:lvl>
    <w:lvl w:ilvl="3">
      <w:numFmt w:val="bullet"/>
      <w:lvlText w:val="•"/>
      <w:lvlJc w:val="left"/>
      <w:pPr>
        <w:ind w:left="3985" w:hanging="567"/>
      </w:pPr>
      <w:rPr>
        <w:rFonts w:hint="default"/>
        <w:lang w:val="zh-HK" w:eastAsia="zh-HK" w:bidi="zh-HK"/>
      </w:rPr>
    </w:lvl>
    <w:lvl w:ilvl="4">
      <w:numFmt w:val="bullet"/>
      <w:lvlText w:val="•"/>
      <w:lvlJc w:val="left"/>
      <w:pPr>
        <w:ind w:left="4968" w:hanging="567"/>
      </w:pPr>
      <w:rPr>
        <w:rFonts w:hint="default"/>
        <w:lang w:val="zh-HK" w:eastAsia="zh-HK" w:bidi="zh-HK"/>
      </w:rPr>
    </w:lvl>
    <w:lvl w:ilvl="5">
      <w:numFmt w:val="bullet"/>
      <w:lvlText w:val="•"/>
      <w:lvlJc w:val="left"/>
      <w:pPr>
        <w:ind w:left="5951" w:hanging="567"/>
      </w:pPr>
      <w:rPr>
        <w:rFonts w:hint="default"/>
        <w:lang w:val="zh-HK" w:eastAsia="zh-HK" w:bidi="zh-HK"/>
      </w:rPr>
    </w:lvl>
    <w:lvl w:ilvl="6">
      <w:numFmt w:val="bullet"/>
      <w:lvlText w:val="•"/>
      <w:lvlJc w:val="left"/>
      <w:pPr>
        <w:ind w:left="6934" w:hanging="567"/>
      </w:pPr>
      <w:rPr>
        <w:rFonts w:hint="default"/>
        <w:lang w:val="zh-HK" w:eastAsia="zh-HK" w:bidi="zh-HK"/>
      </w:rPr>
    </w:lvl>
    <w:lvl w:ilvl="7">
      <w:numFmt w:val="bullet"/>
      <w:lvlText w:val="•"/>
      <w:lvlJc w:val="left"/>
      <w:pPr>
        <w:ind w:left="7917" w:hanging="567"/>
      </w:pPr>
      <w:rPr>
        <w:rFonts w:hint="default"/>
        <w:lang w:val="zh-HK" w:eastAsia="zh-HK" w:bidi="zh-HK"/>
      </w:rPr>
    </w:lvl>
    <w:lvl w:ilvl="8">
      <w:numFmt w:val="bullet"/>
      <w:lvlText w:val="•"/>
      <w:lvlJc w:val="left"/>
      <w:pPr>
        <w:ind w:left="8900" w:hanging="567"/>
      </w:pPr>
      <w:rPr>
        <w:rFonts w:hint="default"/>
        <w:lang w:val="zh-HK" w:eastAsia="zh-HK" w:bidi="zh-HK"/>
      </w:rPr>
    </w:lvl>
  </w:abstractNum>
  <w:abstractNum w:abstractNumId="1" w15:restartNumberingAfterBreak="0">
    <w:nsid w:val="18D00D7F"/>
    <w:multiLevelType w:val="multilevel"/>
    <w:tmpl w:val="631A5746"/>
    <w:lvl w:ilvl="0">
      <w:start w:val="1"/>
      <w:numFmt w:val="decimal"/>
      <w:lvlText w:val="%1"/>
      <w:lvlJc w:val="left"/>
      <w:pPr>
        <w:ind w:left="660" w:hanging="337"/>
        <w:jc w:val="left"/>
      </w:pPr>
      <w:rPr>
        <w:rFonts w:hint="default"/>
        <w:lang w:val="zh-HK" w:eastAsia="zh-HK" w:bidi="zh-HK"/>
      </w:rPr>
    </w:lvl>
    <w:lvl w:ilvl="1">
      <w:start w:val="1"/>
      <w:numFmt w:val="decimal"/>
      <w:lvlText w:val="%1.%2"/>
      <w:lvlJc w:val="left"/>
      <w:pPr>
        <w:ind w:left="660" w:hanging="337"/>
        <w:jc w:val="left"/>
      </w:pPr>
      <w:rPr>
        <w:rFonts w:hint="default"/>
        <w:w w:val="100"/>
        <w:lang w:val="zh-HK" w:eastAsia="zh-HK" w:bidi="zh-HK"/>
      </w:rPr>
    </w:lvl>
    <w:lvl w:ilvl="2">
      <w:start w:val="1"/>
      <w:numFmt w:val="decimal"/>
      <w:lvlText w:val="(%3)"/>
      <w:lvlJc w:val="left"/>
      <w:pPr>
        <w:ind w:left="1380" w:hanging="360"/>
        <w:jc w:val="left"/>
      </w:pPr>
      <w:rPr>
        <w:rFonts w:ascii="新細明體" w:eastAsia="新細明體" w:hAnsi="新細明體" w:cs="新細明體" w:hint="default"/>
        <w:b/>
        <w:bCs/>
        <w:w w:val="99"/>
        <w:sz w:val="28"/>
        <w:szCs w:val="28"/>
        <w:lang w:val="zh-HK" w:eastAsia="zh-HK" w:bidi="zh-HK"/>
      </w:rPr>
    </w:lvl>
    <w:lvl w:ilvl="3">
      <w:start w:val="1"/>
      <w:numFmt w:val="decimal"/>
      <w:lvlText w:val="%3.%4"/>
      <w:lvlJc w:val="left"/>
      <w:pPr>
        <w:ind w:left="1445" w:hanging="420"/>
        <w:jc w:val="right"/>
      </w:pPr>
      <w:rPr>
        <w:rFonts w:ascii="Times New Roman" w:eastAsia="Times New Roman" w:hAnsi="Times New Roman" w:cs="Times New Roman" w:hint="default"/>
        <w:b/>
        <w:bCs/>
        <w:spacing w:val="-1"/>
        <w:w w:val="99"/>
        <w:sz w:val="24"/>
        <w:szCs w:val="24"/>
        <w:lang w:val="zh-HK" w:eastAsia="zh-HK" w:bidi="zh-HK"/>
      </w:rPr>
    </w:lvl>
    <w:lvl w:ilvl="4">
      <w:numFmt w:val="bullet"/>
      <w:lvlText w:val=""/>
      <w:lvlJc w:val="left"/>
      <w:pPr>
        <w:ind w:left="1980" w:hanging="480"/>
      </w:pPr>
      <w:rPr>
        <w:rFonts w:ascii="Wingdings" w:eastAsia="Wingdings" w:hAnsi="Wingdings" w:cs="Wingdings" w:hint="default"/>
        <w:w w:val="100"/>
        <w:sz w:val="24"/>
        <w:szCs w:val="24"/>
        <w:lang w:val="zh-HK" w:eastAsia="zh-HK" w:bidi="zh-HK"/>
      </w:rPr>
    </w:lvl>
    <w:lvl w:ilvl="5">
      <w:numFmt w:val="bullet"/>
      <w:lvlText w:val="-"/>
      <w:lvlJc w:val="left"/>
      <w:pPr>
        <w:ind w:left="2460" w:hanging="480"/>
      </w:pPr>
      <w:rPr>
        <w:rFonts w:ascii="Times New Roman" w:eastAsia="Times New Roman" w:hAnsi="Times New Roman" w:cs="Times New Roman" w:hint="default"/>
        <w:spacing w:val="-56"/>
        <w:w w:val="99"/>
        <w:sz w:val="24"/>
        <w:szCs w:val="24"/>
        <w:lang w:val="zh-HK" w:eastAsia="zh-HK" w:bidi="zh-HK"/>
      </w:rPr>
    </w:lvl>
    <w:lvl w:ilvl="6">
      <w:numFmt w:val="bullet"/>
      <w:lvlText w:val="•"/>
      <w:lvlJc w:val="left"/>
      <w:pPr>
        <w:ind w:left="4141" w:hanging="480"/>
      </w:pPr>
      <w:rPr>
        <w:rFonts w:hint="default"/>
        <w:lang w:val="zh-HK" w:eastAsia="zh-HK" w:bidi="zh-HK"/>
      </w:rPr>
    </w:lvl>
    <w:lvl w:ilvl="7">
      <w:numFmt w:val="bullet"/>
      <w:lvlText w:val="•"/>
      <w:lvlJc w:val="left"/>
      <w:pPr>
        <w:ind w:left="5822" w:hanging="480"/>
      </w:pPr>
      <w:rPr>
        <w:rFonts w:hint="default"/>
        <w:lang w:val="zh-HK" w:eastAsia="zh-HK" w:bidi="zh-HK"/>
      </w:rPr>
    </w:lvl>
    <w:lvl w:ilvl="8">
      <w:numFmt w:val="bullet"/>
      <w:lvlText w:val="•"/>
      <w:lvlJc w:val="left"/>
      <w:pPr>
        <w:ind w:left="7503" w:hanging="480"/>
      </w:pPr>
      <w:rPr>
        <w:rFonts w:hint="default"/>
        <w:lang w:val="zh-HK" w:eastAsia="zh-HK" w:bidi="zh-HK"/>
      </w:rPr>
    </w:lvl>
  </w:abstractNum>
  <w:abstractNum w:abstractNumId="2" w15:restartNumberingAfterBreak="0">
    <w:nsid w:val="19DD5D26"/>
    <w:multiLevelType w:val="hybridMultilevel"/>
    <w:tmpl w:val="8696CF4E"/>
    <w:lvl w:ilvl="0" w:tplc="7D26A240">
      <w:numFmt w:val="bullet"/>
      <w:lvlText w:val=""/>
      <w:lvlJc w:val="left"/>
      <w:pPr>
        <w:ind w:left="414" w:hanging="286"/>
      </w:pPr>
      <w:rPr>
        <w:rFonts w:ascii="Wingdings" w:eastAsia="Wingdings" w:hAnsi="Wingdings" w:cs="Wingdings" w:hint="default"/>
        <w:w w:val="100"/>
        <w:sz w:val="22"/>
        <w:szCs w:val="22"/>
        <w:lang w:val="zh-HK" w:eastAsia="zh-HK" w:bidi="zh-HK"/>
      </w:rPr>
    </w:lvl>
    <w:lvl w:ilvl="1" w:tplc="D99275D4">
      <w:numFmt w:val="bullet"/>
      <w:lvlText w:val="•"/>
      <w:lvlJc w:val="left"/>
      <w:pPr>
        <w:ind w:left="870" w:hanging="286"/>
      </w:pPr>
      <w:rPr>
        <w:rFonts w:hint="default"/>
        <w:lang w:val="zh-HK" w:eastAsia="zh-HK" w:bidi="zh-HK"/>
      </w:rPr>
    </w:lvl>
    <w:lvl w:ilvl="2" w:tplc="E1309966">
      <w:numFmt w:val="bullet"/>
      <w:lvlText w:val="•"/>
      <w:lvlJc w:val="left"/>
      <w:pPr>
        <w:ind w:left="1321" w:hanging="286"/>
      </w:pPr>
      <w:rPr>
        <w:rFonts w:hint="default"/>
        <w:lang w:val="zh-HK" w:eastAsia="zh-HK" w:bidi="zh-HK"/>
      </w:rPr>
    </w:lvl>
    <w:lvl w:ilvl="3" w:tplc="5032E6C6">
      <w:numFmt w:val="bullet"/>
      <w:lvlText w:val="•"/>
      <w:lvlJc w:val="left"/>
      <w:pPr>
        <w:ind w:left="1772" w:hanging="286"/>
      </w:pPr>
      <w:rPr>
        <w:rFonts w:hint="default"/>
        <w:lang w:val="zh-HK" w:eastAsia="zh-HK" w:bidi="zh-HK"/>
      </w:rPr>
    </w:lvl>
    <w:lvl w:ilvl="4" w:tplc="C18A5BFC">
      <w:numFmt w:val="bullet"/>
      <w:lvlText w:val="•"/>
      <w:lvlJc w:val="left"/>
      <w:pPr>
        <w:ind w:left="2223" w:hanging="286"/>
      </w:pPr>
      <w:rPr>
        <w:rFonts w:hint="default"/>
        <w:lang w:val="zh-HK" w:eastAsia="zh-HK" w:bidi="zh-HK"/>
      </w:rPr>
    </w:lvl>
    <w:lvl w:ilvl="5" w:tplc="2FF88B7C">
      <w:numFmt w:val="bullet"/>
      <w:lvlText w:val="•"/>
      <w:lvlJc w:val="left"/>
      <w:pPr>
        <w:ind w:left="2674" w:hanging="286"/>
      </w:pPr>
      <w:rPr>
        <w:rFonts w:hint="default"/>
        <w:lang w:val="zh-HK" w:eastAsia="zh-HK" w:bidi="zh-HK"/>
      </w:rPr>
    </w:lvl>
    <w:lvl w:ilvl="6" w:tplc="BDC00FB4">
      <w:numFmt w:val="bullet"/>
      <w:lvlText w:val="•"/>
      <w:lvlJc w:val="left"/>
      <w:pPr>
        <w:ind w:left="3125" w:hanging="286"/>
      </w:pPr>
      <w:rPr>
        <w:rFonts w:hint="default"/>
        <w:lang w:val="zh-HK" w:eastAsia="zh-HK" w:bidi="zh-HK"/>
      </w:rPr>
    </w:lvl>
    <w:lvl w:ilvl="7" w:tplc="DE70F75C">
      <w:numFmt w:val="bullet"/>
      <w:lvlText w:val="•"/>
      <w:lvlJc w:val="left"/>
      <w:pPr>
        <w:ind w:left="3576" w:hanging="286"/>
      </w:pPr>
      <w:rPr>
        <w:rFonts w:hint="default"/>
        <w:lang w:val="zh-HK" w:eastAsia="zh-HK" w:bidi="zh-HK"/>
      </w:rPr>
    </w:lvl>
    <w:lvl w:ilvl="8" w:tplc="0C7A120C">
      <w:numFmt w:val="bullet"/>
      <w:lvlText w:val="•"/>
      <w:lvlJc w:val="left"/>
      <w:pPr>
        <w:ind w:left="4027" w:hanging="286"/>
      </w:pPr>
      <w:rPr>
        <w:rFonts w:hint="default"/>
        <w:lang w:val="zh-HK" w:eastAsia="zh-HK" w:bidi="zh-HK"/>
      </w:rPr>
    </w:lvl>
  </w:abstractNum>
  <w:abstractNum w:abstractNumId="3" w15:restartNumberingAfterBreak="0">
    <w:nsid w:val="27E24A7F"/>
    <w:multiLevelType w:val="hybridMultilevel"/>
    <w:tmpl w:val="69823484"/>
    <w:lvl w:ilvl="0" w:tplc="F8FEC7A4">
      <w:numFmt w:val="bullet"/>
      <w:lvlText w:val=""/>
      <w:lvlJc w:val="left"/>
      <w:pPr>
        <w:ind w:left="414" w:hanging="305"/>
      </w:pPr>
      <w:rPr>
        <w:rFonts w:ascii="Wingdings" w:eastAsia="Wingdings" w:hAnsi="Wingdings" w:cs="Wingdings" w:hint="default"/>
        <w:w w:val="100"/>
        <w:sz w:val="22"/>
        <w:szCs w:val="22"/>
        <w:lang w:val="zh-HK" w:eastAsia="zh-HK" w:bidi="zh-HK"/>
      </w:rPr>
    </w:lvl>
    <w:lvl w:ilvl="1" w:tplc="98D242D4">
      <w:numFmt w:val="bullet"/>
      <w:lvlText w:val="•"/>
      <w:lvlJc w:val="left"/>
      <w:pPr>
        <w:ind w:left="870" w:hanging="305"/>
      </w:pPr>
      <w:rPr>
        <w:rFonts w:hint="default"/>
        <w:lang w:val="zh-HK" w:eastAsia="zh-HK" w:bidi="zh-HK"/>
      </w:rPr>
    </w:lvl>
    <w:lvl w:ilvl="2" w:tplc="1F34827A">
      <w:numFmt w:val="bullet"/>
      <w:lvlText w:val="•"/>
      <w:lvlJc w:val="left"/>
      <w:pPr>
        <w:ind w:left="1321" w:hanging="305"/>
      </w:pPr>
      <w:rPr>
        <w:rFonts w:hint="default"/>
        <w:lang w:val="zh-HK" w:eastAsia="zh-HK" w:bidi="zh-HK"/>
      </w:rPr>
    </w:lvl>
    <w:lvl w:ilvl="3" w:tplc="E05818DC">
      <w:numFmt w:val="bullet"/>
      <w:lvlText w:val="•"/>
      <w:lvlJc w:val="left"/>
      <w:pPr>
        <w:ind w:left="1772" w:hanging="305"/>
      </w:pPr>
      <w:rPr>
        <w:rFonts w:hint="default"/>
        <w:lang w:val="zh-HK" w:eastAsia="zh-HK" w:bidi="zh-HK"/>
      </w:rPr>
    </w:lvl>
    <w:lvl w:ilvl="4" w:tplc="2C2CE02E">
      <w:numFmt w:val="bullet"/>
      <w:lvlText w:val="•"/>
      <w:lvlJc w:val="left"/>
      <w:pPr>
        <w:ind w:left="2223" w:hanging="305"/>
      </w:pPr>
      <w:rPr>
        <w:rFonts w:hint="default"/>
        <w:lang w:val="zh-HK" w:eastAsia="zh-HK" w:bidi="zh-HK"/>
      </w:rPr>
    </w:lvl>
    <w:lvl w:ilvl="5" w:tplc="C026F978">
      <w:numFmt w:val="bullet"/>
      <w:lvlText w:val="•"/>
      <w:lvlJc w:val="left"/>
      <w:pPr>
        <w:ind w:left="2674" w:hanging="305"/>
      </w:pPr>
      <w:rPr>
        <w:rFonts w:hint="default"/>
        <w:lang w:val="zh-HK" w:eastAsia="zh-HK" w:bidi="zh-HK"/>
      </w:rPr>
    </w:lvl>
    <w:lvl w:ilvl="6" w:tplc="324E5032">
      <w:numFmt w:val="bullet"/>
      <w:lvlText w:val="•"/>
      <w:lvlJc w:val="left"/>
      <w:pPr>
        <w:ind w:left="3125" w:hanging="305"/>
      </w:pPr>
      <w:rPr>
        <w:rFonts w:hint="default"/>
        <w:lang w:val="zh-HK" w:eastAsia="zh-HK" w:bidi="zh-HK"/>
      </w:rPr>
    </w:lvl>
    <w:lvl w:ilvl="7" w:tplc="124E9786">
      <w:numFmt w:val="bullet"/>
      <w:lvlText w:val="•"/>
      <w:lvlJc w:val="left"/>
      <w:pPr>
        <w:ind w:left="3576" w:hanging="305"/>
      </w:pPr>
      <w:rPr>
        <w:rFonts w:hint="default"/>
        <w:lang w:val="zh-HK" w:eastAsia="zh-HK" w:bidi="zh-HK"/>
      </w:rPr>
    </w:lvl>
    <w:lvl w:ilvl="8" w:tplc="6A281066">
      <w:numFmt w:val="bullet"/>
      <w:lvlText w:val="•"/>
      <w:lvlJc w:val="left"/>
      <w:pPr>
        <w:ind w:left="4027" w:hanging="305"/>
      </w:pPr>
      <w:rPr>
        <w:rFonts w:hint="default"/>
        <w:lang w:val="zh-HK" w:eastAsia="zh-HK" w:bidi="zh-HK"/>
      </w:rPr>
    </w:lvl>
  </w:abstractNum>
  <w:abstractNum w:abstractNumId="4" w15:restartNumberingAfterBreak="0">
    <w:nsid w:val="29E1476B"/>
    <w:multiLevelType w:val="multilevel"/>
    <w:tmpl w:val="A56A82A0"/>
    <w:lvl w:ilvl="0">
      <w:start w:val="2"/>
      <w:numFmt w:val="decimal"/>
      <w:lvlText w:val="%1"/>
      <w:lvlJc w:val="left"/>
      <w:pPr>
        <w:ind w:left="415" w:hanging="303"/>
        <w:jc w:val="left"/>
      </w:pPr>
      <w:rPr>
        <w:rFonts w:hint="default"/>
        <w:lang w:val="zh-HK" w:eastAsia="zh-HK" w:bidi="zh-HK"/>
      </w:rPr>
    </w:lvl>
    <w:lvl w:ilvl="1">
      <w:start w:val="1"/>
      <w:numFmt w:val="decimal"/>
      <w:lvlText w:val="%1.%2"/>
      <w:lvlJc w:val="left"/>
      <w:pPr>
        <w:ind w:left="415" w:hanging="303"/>
        <w:jc w:val="left"/>
      </w:pPr>
      <w:rPr>
        <w:rFonts w:ascii="Calibri" w:eastAsia="Calibri" w:hAnsi="Calibri" w:cs="Calibri" w:hint="default"/>
        <w:spacing w:val="-1"/>
        <w:w w:val="99"/>
        <w:sz w:val="20"/>
        <w:szCs w:val="20"/>
        <w:lang w:val="zh-HK" w:eastAsia="zh-HK" w:bidi="zh-HK"/>
      </w:rPr>
    </w:lvl>
    <w:lvl w:ilvl="2">
      <w:numFmt w:val="bullet"/>
      <w:lvlText w:val="•"/>
      <w:lvlJc w:val="left"/>
      <w:pPr>
        <w:ind w:left="1353" w:hanging="303"/>
      </w:pPr>
      <w:rPr>
        <w:rFonts w:hint="default"/>
        <w:lang w:val="zh-HK" w:eastAsia="zh-HK" w:bidi="zh-HK"/>
      </w:rPr>
    </w:lvl>
    <w:lvl w:ilvl="3">
      <w:numFmt w:val="bullet"/>
      <w:lvlText w:val="•"/>
      <w:lvlJc w:val="left"/>
      <w:pPr>
        <w:ind w:left="1819" w:hanging="303"/>
      </w:pPr>
      <w:rPr>
        <w:rFonts w:hint="default"/>
        <w:lang w:val="zh-HK" w:eastAsia="zh-HK" w:bidi="zh-HK"/>
      </w:rPr>
    </w:lvl>
    <w:lvl w:ilvl="4">
      <w:numFmt w:val="bullet"/>
      <w:lvlText w:val="•"/>
      <w:lvlJc w:val="left"/>
      <w:pPr>
        <w:ind w:left="2286" w:hanging="303"/>
      </w:pPr>
      <w:rPr>
        <w:rFonts w:hint="default"/>
        <w:lang w:val="zh-HK" w:eastAsia="zh-HK" w:bidi="zh-HK"/>
      </w:rPr>
    </w:lvl>
    <w:lvl w:ilvl="5">
      <w:numFmt w:val="bullet"/>
      <w:lvlText w:val="•"/>
      <w:lvlJc w:val="left"/>
      <w:pPr>
        <w:ind w:left="2753" w:hanging="303"/>
      </w:pPr>
      <w:rPr>
        <w:rFonts w:hint="default"/>
        <w:lang w:val="zh-HK" w:eastAsia="zh-HK" w:bidi="zh-HK"/>
      </w:rPr>
    </w:lvl>
    <w:lvl w:ilvl="6">
      <w:numFmt w:val="bullet"/>
      <w:lvlText w:val="•"/>
      <w:lvlJc w:val="left"/>
      <w:pPr>
        <w:ind w:left="3219" w:hanging="303"/>
      </w:pPr>
      <w:rPr>
        <w:rFonts w:hint="default"/>
        <w:lang w:val="zh-HK" w:eastAsia="zh-HK" w:bidi="zh-HK"/>
      </w:rPr>
    </w:lvl>
    <w:lvl w:ilvl="7">
      <w:numFmt w:val="bullet"/>
      <w:lvlText w:val="•"/>
      <w:lvlJc w:val="left"/>
      <w:pPr>
        <w:ind w:left="3686" w:hanging="303"/>
      </w:pPr>
      <w:rPr>
        <w:rFonts w:hint="default"/>
        <w:lang w:val="zh-HK" w:eastAsia="zh-HK" w:bidi="zh-HK"/>
      </w:rPr>
    </w:lvl>
    <w:lvl w:ilvl="8">
      <w:numFmt w:val="bullet"/>
      <w:lvlText w:val="•"/>
      <w:lvlJc w:val="left"/>
      <w:pPr>
        <w:ind w:left="4152" w:hanging="303"/>
      </w:pPr>
      <w:rPr>
        <w:rFonts w:hint="default"/>
        <w:lang w:val="zh-HK" w:eastAsia="zh-HK" w:bidi="zh-HK"/>
      </w:rPr>
    </w:lvl>
  </w:abstractNum>
  <w:abstractNum w:abstractNumId="5" w15:restartNumberingAfterBreak="0">
    <w:nsid w:val="310A007D"/>
    <w:multiLevelType w:val="hybridMultilevel"/>
    <w:tmpl w:val="C3D4341A"/>
    <w:lvl w:ilvl="0" w:tplc="32962D28">
      <w:numFmt w:val="bullet"/>
      <w:lvlText w:val=""/>
      <w:lvlJc w:val="left"/>
      <w:pPr>
        <w:ind w:left="414" w:hanging="286"/>
      </w:pPr>
      <w:rPr>
        <w:rFonts w:ascii="Wingdings" w:eastAsia="Wingdings" w:hAnsi="Wingdings" w:cs="Wingdings" w:hint="default"/>
        <w:w w:val="100"/>
        <w:sz w:val="22"/>
        <w:szCs w:val="22"/>
        <w:lang w:val="zh-HK" w:eastAsia="zh-HK" w:bidi="zh-HK"/>
      </w:rPr>
    </w:lvl>
    <w:lvl w:ilvl="1" w:tplc="A6CEA460">
      <w:numFmt w:val="bullet"/>
      <w:lvlText w:val="•"/>
      <w:lvlJc w:val="left"/>
      <w:pPr>
        <w:ind w:left="870" w:hanging="286"/>
      </w:pPr>
      <w:rPr>
        <w:rFonts w:hint="default"/>
        <w:lang w:val="zh-HK" w:eastAsia="zh-HK" w:bidi="zh-HK"/>
      </w:rPr>
    </w:lvl>
    <w:lvl w:ilvl="2" w:tplc="8BA01C4E">
      <w:numFmt w:val="bullet"/>
      <w:lvlText w:val="•"/>
      <w:lvlJc w:val="left"/>
      <w:pPr>
        <w:ind w:left="1321" w:hanging="286"/>
      </w:pPr>
      <w:rPr>
        <w:rFonts w:hint="default"/>
        <w:lang w:val="zh-HK" w:eastAsia="zh-HK" w:bidi="zh-HK"/>
      </w:rPr>
    </w:lvl>
    <w:lvl w:ilvl="3" w:tplc="4A1EC7FE">
      <w:numFmt w:val="bullet"/>
      <w:lvlText w:val="•"/>
      <w:lvlJc w:val="left"/>
      <w:pPr>
        <w:ind w:left="1772" w:hanging="286"/>
      </w:pPr>
      <w:rPr>
        <w:rFonts w:hint="default"/>
        <w:lang w:val="zh-HK" w:eastAsia="zh-HK" w:bidi="zh-HK"/>
      </w:rPr>
    </w:lvl>
    <w:lvl w:ilvl="4" w:tplc="E5268348">
      <w:numFmt w:val="bullet"/>
      <w:lvlText w:val="•"/>
      <w:lvlJc w:val="left"/>
      <w:pPr>
        <w:ind w:left="2223" w:hanging="286"/>
      </w:pPr>
      <w:rPr>
        <w:rFonts w:hint="default"/>
        <w:lang w:val="zh-HK" w:eastAsia="zh-HK" w:bidi="zh-HK"/>
      </w:rPr>
    </w:lvl>
    <w:lvl w:ilvl="5" w:tplc="DA28B994">
      <w:numFmt w:val="bullet"/>
      <w:lvlText w:val="•"/>
      <w:lvlJc w:val="left"/>
      <w:pPr>
        <w:ind w:left="2674" w:hanging="286"/>
      </w:pPr>
      <w:rPr>
        <w:rFonts w:hint="default"/>
        <w:lang w:val="zh-HK" w:eastAsia="zh-HK" w:bidi="zh-HK"/>
      </w:rPr>
    </w:lvl>
    <w:lvl w:ilvl="6" w:tplc="E956342C">
      <w:numFmt w:val="bullet"/>
      <w:lvlText w:val="•"/>
      <w:lvlJc w:val="left"/>
      <w:pPr>
        <w:ind w:left="3125" w:hanging="286"/>
      </w:pPr>
      <w:rPr>
        <w:rFonts w:hint="default"/>
        <w:lang w:val="zh-HK" w:eastAsia="zh-HK" w:bidi="zh-HK"/>
      </w:rPr>
    </w:lvl>
    <w:lvl w:ilvl="7" w:tplc="E8964938">
      <w:numFmt w:val="bullet"/>
      <w:lvlText w:val="•"/>
      <w:lvlJc w:val="left"/>
      <w:pPr>
        <w:ind w:left="3576" w:hanging="286"/>
      </w:pPr>
      <w:rPr>
        <w:rFonts w:hint="default"/>
        <w:lang w:val="zh-HK" w:eastAsia="zh-HK" w:bidi="zh-HK"/>
      </w:rPr>
    </w:lvl>
    <w:lvl w:ilvl="8" w:tplc="7FC88F18">
      <w:numFmt w:val="bullet"/>
      <w:lvlText w:val="•"/>
      <w:lvlJc w:val="left"/>
      <w:pPr>
        <w:ind w:left="4027" w:hanging="286"/>
      </w:pPr>
      <w:rPr>
        <w:rFonts w:hint="default"/>
        <w:lang w:val="zh-HK" w:eastAsia="zh-HK" w:bidi="zh-HK"/>
      </w:rPr>
    </w:lvl>
  </w:abstractNum>
  <w:abstractNum w:abstractNumId="6" w15:restartNumberingAfterBreak="0">
    <w:nsid w:val="3CF6696A"/>
    <w:multiLevelType w:val="hybridMultilevel"/>
    <w:tmpl w:val="B644CB10"/>
    <w:lvl w:ilvl="0" w:tplc="999A1E78">
      <w:numFmt w:val="bullet"/>
      <w:lvlText w:val=""/>
      <w:lvlJc w:val="left"/>
      <w:pPr>
        <w:ind w:left="414" w:hanging="305"/>
      </w:pPr>
      <w:rPr>
        <w:rFonts w:ascii="Wingdings" w:eastAsia="Wingdings" w:hAnsi="Wingdings" w:cs="Wingdings" w:hint="default"/>
        <w:w w:val="100"/>
        <w:sz w:val="22"/>
        <w:szCs w:val="22"/>
        <w:lang w:val="zh-HK" w:eastAsia="zh-HK" w:bidi="zh-HK"/>
      </w:rPr>
    </w:lvl>
    <w:lvl w:ilvl="1" w:tplc="5EA2D3D2">
      <w:numFmt w:val="bullet"/>
      <w:lvlText w:val="•"/>
      <w:lvlJc w:val="left"/>
      <w:pPr>
        <w:ind w:left="870" w:hanging="305"/>
      </w:pPr>
      <w:rPr>
        <w:rFonts w:hint="default"/>
        <w:lang w:val="zh-HK" w:eastAsia="zh-HK" w:bidi="zh-HK"/>
      </w:rPr>
    </w:lvl>
    <w:lvl w:ilvl="2" w:tplc="BD086C94">
      <w:numFmt w:val="bullet"/>
      <w:lvlText w:val="•"/>
      <w:lvlJc w:val="left"/>
      <w:pPr>
        <w:ind w:left="1321" w:hanging="305"/>
      </w:pPr>
      <w:rPr>
        <w:rFonts w:hint="default"/>
        <w:lang w:val="zh-HK" w:eastAsia="zh-HK" w:bidi="zh-HK"/>
      </w:rPr>
    </w:lvl>
    <w:lvl w:ilvl="3" w:tplc="F7D0B002">
      <w:numFmt w:val="bullet"/>
      <w:lvlText w:val="•"/>
      <w:lvlJc w:val="left"/>
      <w:pPr>
        <w:ind w:left="1772" w:hanging="305"/>
      </w:pPr>
      <w:rPr>
        <w:rFonts w:hint="default"/>
        <w:lang w:val="zh-HK" w:eastAsia="zh-HK" w:bidi="zh-HK"/>
      </w:rPr>
    </w:lvl>
    <w:lvl w:ilvl="4" w:tplc="CA965520">
      <w:numFmt w:val="bullet"/>
      <w:lvlText w:val="•"/>
      <w:lvlJc w:val="left"/>
      <w:pPr>
        <w:ind w:left="2223" w:hanging="305"/>
      </w:pPr>
      <w:rPr>
        <w:rFonts w:hint="default"/>
        <w:lang w:val="zh-HK" w:eastAsia="zh-HK" w:bidi="zh-HK"/>
      </w:rPr>
    </w:lvl>
    <w:lvl w:ilvl="5" w:tplc="30441D30">
      <w:numFmt w:val="bullet"/>
      <w:lvlText w:val="•"/>
      <w:lvlJc w:val="left"/>
      <w:pPr>
        <w:ind w:left="2674" w:hanging="305"/>
      </w:pPr>
      <w:rPr>
        <w:rFonts w:hint="default"/>
        <w:lang w:val="zh-HK" w:eastAsia="zh-HK" w:bidi="zh-HK"/>
      </w:rPr>
    </w:lvl>
    <w:lvl w:ilvl="6" w:tplc="05B69B72">
      <w:numFmt w:val="bullet"/>
      <w:lvlText w:val="•"/>
      <w:lvlJc w:val="left"/>
      <w:pPr>
        <w:ind w:left="3125" w:hanging="305"/>
      </w:pPr>
      <w:rPr>
        <w:rFonts w:hint="default"/>
        <w:lang w:val="zh-HK" w:eastAsia="zh-HK" w:bidi="zh-HK"/>
      </w:rPr>
    </w:lvl>
    <w:lvl w:ilvl="7" w:tplc="DFFED236">
      <w:numFmt w:val="bullet"/>
      <w:lvlText w:val="•"/>
      <w:lvlJc w:val="left"/>
      <w:pPr>
        <w:ind w:left="3576" w:hanging="305"/>
      </w:pPr>
      <w:rPr>
        <w:rFonts w:hint="default"/>
        <w:lang w:val="zh-HK" w:eastAsia="zh-HK" w:bidi="zh-HK"/>
      </w:rPr>
    </w:lvl>
    <w:lvl w:ilvl="8" w:tplc="125233DE">
      <w:numFmt w:val="bullet"/>
      <w:lvlText w:val="•"/>
      <w:lvlJc w:val="left"/>
      <w:pPr>
        <w:ind w:left="4027" w:hanging="305"/>
      </w:pPr>
      <w:rPr>
        <w:rFonts w:hint="default"/>
        <w:lang w:val="zh-HK" w:eastAsia="zh-HK" w:bidi="zh-HK"/>
      </w:rPr>
    </w:lvl>
  </w:abstractNum>
  <w:abstractNum w:abstractNumId="7" w15:restartNumberingAfterBreak="0">
    <w:nsid w:val="4CC9054C"/>
    <w:multiLevelType w:val="hybridMultilevel"/>
    <w:tmpl w:val="E3D04EB4"/>
    <w:lvl w:ilvl="0" w:tplc="AE44F3B0">
      <w:numFmt w:val="bullet"/>
      <w:lvlText w:val=""/>
      <w:lvlJc w:val="left"/>
      <w:pPr>
        <w:ind w:left="414" w:hanging="286"/>
      </w:pPr>
      <w:rPr>
        <w:rFonts w:ascii="Wingdings" w:eastAsia="Wingdings" w:hAnsi="Wingdings" w:cs="Wingdings" w:hint="default"/>
        <w:w w:val="100"/>
        <w:sz w:val="22"/>
        <w:szCs w:val="22"/>
        <w:lang w:val="zh-HK" w:eastAsia="zh-HK" w:bidi="zh-HK"/>
      </w:rPr>
    </w:lvl>
    <w:lvl w:ilvl="1" w:tplc="5E984BF0">
      <w:numFmt w:val="bullet"/>
      <w:lvlText w:val="•"/>
      <w:lvlJc w:val="left"/>
      <w:pPr>
        <w:ind w:left="870" w:hanging="286"/>
      </w:pPr>
      <w:rPr>
        <w:rFonts w:hint="default"/>
        <w:lang w:val="zh-HK" w:eastAsia="zh-HK" w:bidi="zh-HK"/>
      </w:rPr>
    </w:lvl>
    <w:lvl w:ilvl="2" w:tplc="CDA4A084">
      <w:numFmt w:val="bullet"/>
      <w:lvlText w:val="•"/>
      <w:lvlJc w:val="left"/>
      <w:pPr>
        <w:ind w:left="1321" w:hanging="286"/>
      </w:pPr>
      <w:rPr>
        <w:rFonts w:hint="default"/>
        <w:lang w:val="zh-HK" w:eastAsia="zh-HK" w:bidi="zh-HK"/>
      </w:rPr>
    </w:lvl>
    <w:lvl w:ilvl="3" w:tplc="578A9D26">
      <w:numFmt w:val="bullet"/>
      <w:lvlText w:val="•"/>
      <w:lvlJc w:val="left"/>
      <w:pPr>
        <w:ind w:left="1772" w:hanging="286"/>
      </w:pPr>
      <w:rPr>
        <w:rFonts w:hint="default"/>
        <w:lang w:val="zh-HK" w:eastAsia="zh-HK" w:bidi="zh-HK"/>
      </w:rPr>
    </w:lvl>
    <w:lvl w:ilvl="4" w:tplc="25F2049C">
      <w:numFmt w:val="bullet"/>
      <w:lvlText w:val="•"/>
      <w:lvlJc w:val="left"/>
      <w:pPr>
        <w:ind w:left="2223" w:hanging="286"/>
      </w:pPr>
      <w:rPr>
        <w:rFonts w:hint="default"/>
        <w:lang w:val="zh-HK" w:eastAsia="zh-HK" w:bidi="zh-HK"/>
      </w:rPr>
    </w:lvl>
    <w:lvl w:ilvl="5" w:tplc="3B1870D8">
      <w:numFmt w:val="bullet"/>
      <w:lvlText w:val="•"/>
      <w:lvlJc w:val="left"/>
      <w:pPr>
        <w:ind w:left="2674" w:hanging="286"/>
      </w:pPr>
      <w:rPr>
        <w:rFonts w:hint="default"/>
        <w:lang w:val="zh-HK" w:eastAsia="zh-HK" w:bidi="zh-HK"/>
      </w:rPr>
    </w:lvl>
    <w:lvl w:ilvl="6" w:tplc="A8FC5F1E">
      <w:numFmt w:val="bullet"/>
      <w:lvlText w:val="•"/>
      <w:lvlJc w:val="left"/>
      <w:pPr>
        <w:ind w:left="3125" w:hanging="286"/>
      </w:pPr>
      <w:rPr>
        <w:rFonts w:hint="default"/>
        <w:lang w:val="zh-HK" w:eastAsia="zh-HK" w:bidi="zh-HK"/>
      </w:rPr>
    </w:lvl>
    <w:lvl w:ilvl="7" w:tplc="74CACAA0">
      <w:numFmt w:val="bullet"/>
      <w:lvlText w:val="•"/>
      <w:lvlJc w:val="left"/>
      <w:pPr>
        <w:ind w:left="3576" w:hanging="286"/>
      </w:pPr>
      <w:rPr>
        <w:rFonts w:hint="default"/>
        <w:lang w:val="zh-HK" w:eastAsia="zh-HK" w:bidi="zh-HK"/>
      </w:rPr>
    </w:lvl>
    <w:lvl w:ilvl="8" w:tplc="D904ED5E">
      <w:numFmt w:val="bullet"/>
      <w:lvlText w:val="•"/>
      <w:lvlJc w:val="left"/>
      <w:pPr>
        <w:ind w:left="4027" w:hanging="286"/>
      </w:pPr>
      <w:rPr>
        <w:rFonts w:hint="default"/>
        <w:lang w:val="zh-HK" w:eastAsia="zh-HK" w:bidi="zh-HK"/>
      </w:rPr>
    </w:lvl>
  </w:abstractNum>
  <w:abstractNum w:abstractNumId="8" w15:restartNumberingAfterBreak="0">
    <w:nsid w:val="6B795928"/>
    <w:multiLevelType w:val="multilevel"/>
    <w:tmpl w:val="C7F0CBB2"/>
    <w:lvl w:ilvl="0">
      <w:start w:val="3"/>
      <w:numFmt w:val="decimal"/>
      <w:lvlText w:val="%1"/>
      <w:lvlJc w:val="left"/>
      <w:pPr>
        <w:ind w:left="1445" w:hanging="425"/>
        <w:jc w:val="left"/>
      </w:pPr>
      <w:rPr>
        <w:rFonts w:hint="default"/>
        <w:lang w:val="zh-HK" w:eastAsia="zh-HK" w:bidi="zh-HK"/>
      </w:rPr>
    </w:lvl>
    <w:lvl w:ilvl="1">
      <w:start w:val="1"/>
      <w:numFmt w:val="decimal"/>
      <w:lvlText w:val="%1.%2"/>
      <w:lvlJc w:val="left"/>
      <w:pPr>
        <w:ind w:left="1445" w:hanging="425"/>
        <w:jc w:val="left"/>
      </w:pPr>
      <w:rPr>
        <w:rFonts w:ascii="Times New Roman" w:eastAsia="Times New Roman" w:hAnsi="Times New Roman" w:cs="Times New Roman" w:hint="default"/>
        <w:w w:val="99"/>
        <w:sz w:val="24"/>
        <w:szCs w:val="24"/>
        <w:lang w:val="zh-HK" w:eastAsia="zh-HK" w:bidi="zh-HK"/>
      </w:rPr>
    </w:lvl>
    <w:lvl w:ilvl="2">
      <w:numFmt w:val="bullet"/>
      <w:lvlText w:val=""/>
      <w:lvlJc w:val="left"/>
      <w:pPr>
        <w:ind w:left="1925" w:hanging="480"/>
      </w:pPr>
      <w:rPr>
        <w:rFonts w:ascii="Wingdings" w:eastAsia="Wingdings" w:hAnsi="Wingdings" w:cs="Wingdings" w:hint="default"/>
        <w:w w:val="100"/>
        <w:sz w:val="24"/>
        <w:szCs w:val="24"/>
        <w:lang w:val="zh-HK" w:eastAsia="zh-HK" w:bidi="zh-HK"/>
      </w:rPr>
    </w:lvl>
    <w:lvl w:ilvl="3">
      <w:numFmt w:val="bullet"/>
      <w:lvlText w:val="•"/>
      <w:lvlJc w:val="left"/>
      <w:pPr>
        <w:ind w:left="3908" w:hanging="480"/>
      </w:pPr>
      <w:rPr>
        <w:rFonts w:hint="default"/>
        <w:lang w:val="zh-HK" w:eastAsia="zh-HK" w:bidi="zh-HK"/>
      </w:rPr>
    </w:lvl>
    <w:lvl w:ilvl="4">
      <w:numFmt w:val="bullet"/>
      <w:lvlText w:val="•"/>
      <w:lvlJc w:val="left"/>
      <w:pPr>
        <w:ind w:left="4902" w:hanging="480"/>
      </w:pPr>
      <w:rPr>
        <w:rFonts w:hint="default"/>
        <w:lang w:val="zh-HK" w:eastAsia="zh-HK" w:bidi="zh-HK"/>
      </w:rPr>
    </w:lvl>
    <w:lvl w:ilvl="5">
      <w:numFmt w:val="bullet"/>
      <w:lvlText w:val="•"/>
      <w:lvlJc w:val="left"/>
      <w:pPr>
        <w:ind w:left="5896" w:hanging="480"/>
      </w:pPr>
      <w:rPr>
        <w:rFonts w:hint="default"/>
        <w:lang w:val="zh-HK" w:eastAsia="zh-HK" w:bidi="zh-HK"/>
      </w:rPr>
    </w:lvl>
    <w:lvl w:ilvl="6">
      <w:numFmt w:val="bullet"/>
      <w:lvlText w:val="•"/>
      <w:lvlJc w:val="left"/>
      <w:pPr>
        <w:ind w:left="6890" w:hanging="480"/>
      </w:pPr>
      <w:rPr>
        <w:rFonts w:hint="default"/>
        <w:lang w:val="zh-HK" w:eastAsia="zh-HK" w:bidi="zh-HK"/>
      </w:rPr>
    </w:lvl>
    <w:lvl w:ilvl="7">
      <w:numFmt w:val="bullet"/>
      <w:lvlText w:val="•"/>
      <w:lvlJc w:val="left"/>
      <w:pPr>
        <w:ind w:left="7884" w:hanging="480"/>
      </w:pPr>
      <w:rPr>
        <w:rFonts w:hint="default"/>
        <w:lang w:val="zh-HK" w:eastAsia="zh-HK" w:bidi="zh-HK"/>
      </w:rPr>
    </w:lvl>
    <w:lvl w:ilvl="8">
      <w:numFmt w:val="bullet"/>
      <w:lvlText w:val="•"/>
      <w:lvlJc w:val="left"/>
      <w:pPr>
        <w:ind w:left="8878" w:hanging="480"/>
      </w:pPr>
      <w:rPr>
        <w:rFonts w:hint="default"/>
        <w:lang w:val="zh-HK" w:eastAsia="zh-HK" w:bidi="zh-HK"/>
      </w:rPr>
    </w:lvl>
  </w:abstractNum>
  <w:abstractNum w:abstractNumId="9" w15:restartNumberingAfterBreak="0">
    <w:nsid w:val="75087454"/>
    <w:multiLevelType w:val="hybridMultilevel"/>
    <w:tmpl w:val="1F1497A4"/>
    <w:lvl w:ilvl="0" w:tplc="EAB85B04">
      <w:numFmt w:val="bullet"/>
      <w:lvlText w:val=""/>
      <w:lvlJc w:val="left"/>
      <w:pPr>
        <w:ind w:left="414" w:hanging="305"/>
      </w:pPr>
      <w:rPr>
        <w:rFonts w:ascii="Wingdings" w:eastAsia="Wingdings" w:hAnsi="Wingdings" w:cs="Wingdings" w:hint="default"/>
        <w:w w:val="100"/>
        <w:sz w:val="22"/>
        <w:szCs w:val="22"/>
        <w:lang w:val="zh-HK" w:eastAsia="zh-HK" w:bidi="zh-HK"/>
      </w:rPr>
    </w:lvl>
    <w:lvl w:ilvl="1" w:tplc="00FE6D68">
      <w:numFmt w:val="bullet"/>
      <w:lvlText w:val="•"/>
      <w:lvlJc w:val="left"/>
      <w:pPr>
        <w:ind w:left="870" w:hanging="305"/>
      </w:pPr>
      <w:rPr>
        <w:rFonts w:hint="default"/>
        <w:lang w:val="zh-HK" w:eastAsia="zh-HK" w:bidi="zh-HK"/>
      </w:rPr>
    </w:lvl>
    <w:lvl w:ilvl="2" w:tplc="A20E78E6">
      <w:numFmt w:val="bullet"/>
      <w:lvlText w:val="•"/>
      <w:lvlJc w:val="left"/>
      <w:pPr>
        <w:ind w:left="1321" w:hanging="305"/>
      </w:pPr>
      <w:rPr>
        <w:rFonts w:hint="default"/>
        <w:lang w:val="zh-HK" w:eastAsia="zh-HK" w:bidi="zh-HK"/>
      </w:rPr>
    </w:lvl>
    <w:lvl w:ilvl="3" w:tplc="AB00C862">
      <w:numFmt w:val="bullet"/>
      <w:lvlText w:val="•"/>
      <w:lvlJc w:val="left"/>
      <w:pPr>
        <w:ind w:left="1772" w:hanging="305"/>
      </w:pPr>
      <w:rPr>
        <w:rFonts w:hint="default"/>
        <w:lang w:val="zh-HK" w:eastAsia="zh-HK" w:bidi="zh-HK"/>
      </w:rPr>
    </w:lvl>
    <w:lvl w:ilvl="4" w:tplc="0354049A">
      <w:numFmt w:val="bullet"/>
      <w:lvlText w:val="•"/>
      <w:lvlJc w:val="left"/>
      <w:pPr>
        <w:ind w:left="2223" w:hanging="305"/>
      </w:pPr>
      <w:rPr>
        <w:rFonts w:hint="default"/>
        <w:lang w:val="zh-HK" w:eastAsia="zh-HK" w:bidi="zh-HK"/>
      </w:rPr>
    </w:lvl>
    <w:lvl w:ilvl="5" w:tplc="CA5822E6">
      <w:numFmt w:val="bullet"/>
      <w:lvlText w:val="•"/>
      <w:lvlJc w:val="left"/>
      <w:pPr>
        <w:ind w:left="2674" w:hanging="305"/>
      </w:pPr>
      <w:rPr>
        <w:rFonts w:hint="default"/>
        <w:lang w:val="zh-HK" w:eastAsia="zh-HK" w:bidi="zh-HK"/>
      </w:rPr>
    </w:lvl>
    <w:lvl w:ilvl="6" w:tplc="333840A2">
      <w:numFmt w:val="bullet"/>
      <w:lvlText w:val="•"/>
      <w:lvlJc w:val="left"/>
      <w:pPr>
        <w:ind w:left="3125" w:hanging="305"/>
      </w:pPr>
      <w:rPr>
        <w:rFonts w:hint="default"/>
        <w:lang w:val="zh-HK" w:eastAsia="zh-HK" w:bidi="zh-HK"/>
      </w:rPr>
    </w:lvl>
    <w:lvl w:ilvl="7" w:tplc="0A8AB1E6">
      <w:numFmt w:val="bullet"/>
      <w:lvlText w:val="•"/>
      <w:lvlJc w:val="left"/>
      <w:pPr>
        <w:ind w:left="3576" w:hanging="305"/>
      </w:pPr>
      <w:rPr>
        <w:rFonts w:hint="default"/>
        <w:lang w:val="zh-HK" w:eastAsia="zh-HK" w:bidi="zh-HK"/>
      </w:rPr>
    </w:lvl>
    <w:lvl w:ilvl="8" w:tplc="35D0BB26">
      <w:numFmt w:val="bullet"/>
      <w:lvlText w:val="•"/>
      <w:lvlJc w:val="left"/>
      <w:pPr>
        <w:ind w:left="4027" w:hanging="305"/>
      </w:pPr>
      <w:rPr>
        <w:rFonts w:hint="default"/>
        <w:lang w:val="zh-HK" w:eastAsia="zh-HK" w:bidi="zh-HK"/>
      </w:rPr>
    </w:lvl>
  </w:abstractNum>
  <w:abstractNum w:abstractNumId="10" w15:restartNumberingAfterBreak="0">
    <w:nsid w:val="79EF1B5C"/>
    <w:multiLevelType w:val="multilevel"/>
    <w:tmpl w:val="0552828C"/>
    <w:lvl w:ilvl="0">
      <w:start w:val="3"/>
      <w:numFmt w:val="decimal"/>
      <w:lvlText w:val="%1"/>
      <w:lvlJc w:val="left"/>
      <w:pPr>
        <w:ind w:left="475" w:hanging="365"/>
        <w:jc w:val="left"/>
      </w:pPr>
      <w:rPr>
        <w:rFonts w:hint="default"/>
        <w:lang w:val="zh-HK" w:eastAsia="zh-HK" w:bidi="zh-HK"/>
      </w:rPr>
    </w:lvl>
    <w:lvl w:ilvl="1">
      <w:start w:val="1"/>
      <w:numFmt w:val="decimal"/>
      <w:lvlText w:val="%1.%2"/>
      <w:lvlJc w:val="left"/>
      <w:pPr>
        <w:ind w:left="475" w:hanging="365"/>
        <w:jc w:val="left"/>
      </w:pPr>
      <w:rPr>
        <w:rFonts w:hint="default"/>
        <w:spacing w:val="-1"/>
        <w:w w:val="100"/>
        <w:lang w:val="zh-HK" w:eastAsia="zh-HK" w:bidi="zh-HK"/>
      </w:rPr>
    </w:lvl>
    <w:lvl w:ilvl="2">
      <w:numFmt w:val="bullet"/>
      <w:lvlText w:val="•"/>
      <w:lvlJc w:val="left"/>
      <w:pPr>
        <w:ind w:left="1405" w:hanging="365"/>
      </w:pPr>
      <w:rPr>
        <w:rFonts w:hint="default"/>
        <w:lang w:val="zh-HK" w:eastAsia="zh-HK" w:bidi="zh-HK"/>
      </w:rPr>
    </w:lvl>
    <w:lvl w:ilvl="3">
      <w:numFmt w:val="bullet"/>
      <w:lvlText w:val="•"/>
      <w:lvlJc w:val="left"/>
      <w:pPr>
        <w:ind w:left="1868" w:hanging="365"/>
      </w:pPr>
      <w:rPr>
        <w:rFonts w:hint="default"/>
        <w:lang w:val="zh-HK" w:eastAsia="zh-HK" w:bidi="zh-HK"/>
      </w:rPr>
    </w:lvl>
    <w:lvl w:ilvl="4">
      <w:numFmt w:val="bullet"/>
      <w:lvlText w:val="•"/>
      <w:lvlJc w:val="left"/>
      <w:pPr>
        <w:ind w:left="2330" w:hanging="365"/>
      </w:pPr>
      <w:rPr>
        <w:rFonts w:hint="default"/>
        <w:lang w:val="zh-HK" w:eastAsia="zh-HK" w:bidi="zh-HK"/>
      </w:rPr>
    </w:lvl>
    <w:lvl w:ilvl="5">
      <w:numFmt w:val="bullet"/>
      <w:lvlText w:val="•"/>
      <w:lvlJc w:val="left"/>
      <w:pPr>
        <w:ind w:left="2793" w:hanging="365"/>
      </w:pPr>
      <w:rPr>
        <w:rFonts w:hint="default"/>
        <w:lang w:val="zh-HK" w:eastAsia="zh-HK" w:bidi="zh-HK"/>
      </w:rPr>
    </w:lvl>
    <w:lvl w:ilvl="6">
      <w:numFmt w:val="bullet"/>
      <w:lvlText w:val="•"/>
      <w:lvlJc w:val="left"/>
      <w:pPr>
        <w:ind w:left="3256" w:hanging="365"/>
      </w:pPr>
      <w:rPr>
        <w:rFonts w:hint="default"/>
        <w:lang w:val="zh-HK" w:eastAsia="zh-HK" w:bidi="zh-HK"/>
      </w:rPr>
    </w:lvl>
    <w:lvl w:ilvl="7">
      <w:numFmt w:val="bullet"/>
      <w:lvlText w:val="•"/>
      <w:lvlJc w:val="left"/>
      <w:pPr>
        <w:ind w:left="3719" w:hanging="365"/>
      </w:pPr>
      <w:rPr>
        <w:rFonts w:hint="default"/>
        <w:lang w:val="zh-HK" w:eastAsia="zh-HK" w:bidi="zh-HK"/>
      </w:rPr>
    </w:lvl>
    <w:lvl w:ilvl="8">
      <w:numFmt w:val="bullet"/>
      <w:lvlText w:val="•"/>
      <w:lvlJc w:val="left"/>
      <w:pPr>
        <w:ind w:left="4181" w:hanging="365"/>
      </w:pPr>
      <w:rPr>
        <w:rFonts w:hint="default"/>
        <w:lang w:val="zh-HK" w:eastAsia="zh-HK" w:bidi="zh-HK"/>
      </w:rPr>
    </w:lvl>
  </w:abstractNum>
  <w:num w:numId="1">
    <w:abstractNumId w:val="8"/>
  </w:num>
  <w:num w:numId="2">
    <w:abstractNumId w:val="0"/>
  </w:num>
  <w:num w:numId="3">
    <w:abstractNumId w:val="5"/>
  </w:num>
  <w:num w:numId="4">
    <w:abstractNumId w:val="2"/>
  </w:num>
  <w:num w:numId="5">
    <w:abstractNumId w:val="7"/>
  </w:num>
  <w:num w:numId="6">
    <w:abstractNumId w:val="9"/>
  </w:num>
  <w:num w:numId="7">
    <w:abstractNumId w:val="3"/>
  </w:num>
  <w:num w:numId="8">
    <w:abstractNumId w:val="6"/>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10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14939"/>
    <w:rsid w:val="000A19CC"/>
    <w:rsid w:val="002137D6"/>
    <w:rsid w:val="00214939"/>
    <w:rsid w:val="004803DE"/>
    <w:rsid w:val="005B7F26"/>
    <w:rsid w:val="00793AD5"/>
    <w:rsid w:val="008169F6"/>
    <w:rsid w:val="008F6AF9"/>
    <w:rsid w:val="009B2786"/>
    <w:rsid w:val="00AD1D3F"/>
    <w:rsid w:val="00B16B56"/>
    <w:rsid w:val="00B45628"/>
    <w:rsid w:val="00B95C6E"/>
    <w:rsid w:val="00BE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2"/>
    </o:shapelayout>
  </w:shapeDefaults>
  <w:decimalSymbol w:val="."/>
  <w:listSeparator w:val=","/>
  <w14:docId w14:val="5D425C97"/>
  <w15:docId w15:val="{9BDEC145-FBE1-49D2-8250-455EB771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zh-HK" w:eastAsia="zh-HK" w:bidi="zh-HK"/>
    </w:rPr>
  </w:style>
  <w:style w:type="paragraph" w:styleId="1">
    <w:name w:val="heading 1"/>
    <w:basedOn w:val="a"/>
    <w:uiPriority w:val="1"/>
    <w:qFormat/>
    <w:pPr>
      <w:ind w:left="1020"/>
      <w:outlineLvl w:val="0"/>
    </w:pPr>
    <w:rPr>
      <w:rFonts w:ascii="新細明體" w:eastAsia="新細明體" w:hAnsi="新細明體" w:cs="新細明體"/>
      <w:b/>
      <w:bCs/>
      <w:sz w:val="28"/>
      <w:szCs w:val="28"/>
    </w:rPr>
  </w:style>
  <w:style w:type="paragraph" w:styleId="2">
    <w:name w:val="heading 2"/>
    <w:basedOn w:val="a"/>
    <w:uiPriority w:val="1"/>
    <w:qFormat/>
    <w:pPr>
      <w:spacing w:before="40"/>
      <w:ind w:left="1020"/>
      <w:outlineLvl w:val="1"/>
    </w:pPr>
    <w:rPr>
      <w:rFonts w:ascii="新細明體" w:eastAsia="新細明體" w:hAnsi="新細明體" w:cs="新細明體"/>
      <w:i/>
      <w:sz w:val="25"/>
      <w:szCs w:val="25"/>
    </w:rPr>
  </w:style>
  <w:style w:type="paragraph" w:styleId="3">
    <w:name w:val="heading 3"/>
    <w:basedOn w:val="a"/>
    <w:uiPriority w:val="1"/>
    <w:qFormat/>
    <w:pPr>
      <w:ind w:left="1020"/>
      <w:outlineLvl w:val="2"/>
    </w:pPr>
    <w:rPr>
      <w:rFonts w:ascii="新細明體" w:eastAsia="新細明體" w:hAnsi="新細明體" w:cs="新細明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4"/>
      <w:ind w:left="1445" w:hanging="480"/>
    </w:pPr>
    <w:rPr>
      <w:rFonts w:ascii="新細明體" w:eastAsia="新細明體" w:hAnsi="新細明體" w:cs="新細明體"/>
    </w:rPr>
  </w:style>
  <w:style w:type="paragraph" w:customStyle="1" w:styleId="TableParagraph">
    <w:name w:val="Table Paragraph"/>
    <w:basedOn w:val="a"/>
    <w:uiPriority w:val="1"/>
    <w:qFormat/>
    <w:pPr>
      <w:spacing w:before="20"/>
      <w:ind w:left="414" w:hanging="305"/>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anchor.hung@rehabsociety.org.hk" TargetMode="External"/><Relationship Id="rId18" Type="http://schemas.openxmlformats.org/officeDocument/2006/relationships/hyperlink" Target="http://www.who.int/disabilities/care/rehab-2030/en/" TargetMode="External"/><Relationship Id="rId26" Type="http://schemas.openxmlformats.org/officeDocument/2006/relationships/hyperlink" Target="http://www.legco.gov.hk/yr16-17/english/panels/ws/papers/hsws20170224cb2-884-1-e.pdf" TargetMode="External"/><Relationship Id="rId39" Type="http://schemas.openxmlformats.org/officeDocument/2006/relationships/hyperlink" Target="https://www.un.org/development/desa/disabilities/issues/disability-inclusive-disaster-risk-reduction-and-emergency-situations.html" TargetMode="External"/><Relationship Id="rId21" Type="http://schemas.openxmlformats.org/officeDocument/2006/relationships/hyperlink" Target="http://www.elderlycommission.gov.hk/en/download/library/ESPP_Final_Report_E" TargetMode="External"/><Relationship Id="rId34" Type="http://schemas.openxmlformats.org/officeDocument/2006/relationships/hyperlink" Target="http://www.age-platform.eu/images/ESCAPE_Needs_and_expectations_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stainabledevelopment.un.org/post2015/transformingourworld" TargetMode="External"/><Relationship Id="rId20" Type="http://schemas.openxmlformats.org/officeDocument/2006/relationships/hyperlink" Target="http://www.hpdo.gov.hk/en/srreport.html" TargetMode="External"/><Relationship Id="rId29" Type="http://schemas.openxmlformats.org/officeDocument/2006/relationships/hyperlink" Target="https://www.povertyrelief.gov.hk/eng/pdf/Hong_Kong_Poverty_Situation_Report_on_Disability_2013(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d.gov.hk/barrierfree/chi/index.html" TargetMode="External"/><Relationship Id="rId24" Type="http://schemas.openxmlformats.org/officeDocument/2006/relationships/hyperlink" Target="https://www.ha.org.hk/upload/publication_42/513.pdf" TargetMode="External"/><Relationship Id="rId32" Type="http://schemas.openxmlformats.org/officeDocument/2006/relationships/hyperlink" Target="http://www.cedb.gov.hk/citb/tc/Policy_Responsibilities/tourism.html" TargetMode="External"/><Relationship Id="rId37" Type="http://schemas.openxmlformats.org/officeDocument/2006/relationships/hyperlink" Target="https://www.un.org/development/desa/disabilities/issues/promoting-accessible-tourism-for-all.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rrielam2017.hk/en/manifesto/" TargetMode="External"/><Relationship Id="rId23" Type="http://schemas.openxmlformats.org/officeDocument/2006/relationships/hyperlink" Target="https://www.ha.org.hk/upload/publication_42/533.pdf" TargetMode="External"/><Relationship Id="rId28" Type="http://schemas.openxmlformats.org/officeDocument/2006/relationships/hyperlink" Target="http://www.statistics.gov.hk/pub/B11301622014XXXXB0100.pdf" TargetMode="External"/><Relationship Id="rId36" Type="http://schemas.openxmlformats.org/officeDocument/2006/relationships/hyperlink" Target="https://www.un.org/development/desa/disabilities/issues/promoting-accessible-tourism-for-all.html" TargetMode="External"/><Relationship Id="rId10" Type="http://schemas.openxmlformats.org/officeDocument/2006/relationships/footer" Target="footer3.xml"/><Relationship Id="rId19" Type="http://schemas.openxmlformats.org/officeDocument/2006/relationships/hyperlink" Target="http://www.who.int/disabilities/rehabilitation_health_systems/en/" TargetMode="External"/><Relationship Id="rId31" Type="http://schemas.openxmlformats.org/officeDocument/2006/relationships/hyperlink" Target="http://www.lwb.gov.hk/chi/press/13032017_3.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arrielam2017.hk/en/manifesto/" TargetMode="External"/><Relationship Id="rId22" Type="http://schemas.openxmlformats.org/officeDocument/2006/relationships/hyperlink" Target="http://www.healthyhkec.org/SCE8/presentations/o_ng.pdf/" TargetMode="External"/><Relationship Id="rId27" Type="http://schemas.openxmlformats.org/officeDocument/2006/relationships/hyperlink" Target="http://apps.who.int/iris/bitstream/10665/42407/1/9241545429.pdf" TargetMode="External"/><Relationship Id="rId30" Type="http://schemas.openxmlformats.org/officeDocument/2006/relationships/hyperlink" Target="https://www.povertyrelief.gov.hk/eng/pdf/Hong_Kong_Poverty_Situation_Report_on_Disability_2013(E).pdf" TargetMode="External"/><Relationship Id="rId35" Type="http://schemas.openxmlformats.org/officeDocument/2006/relationships/hyperlink" Target="http://www.age-platform.eu/images/ESCAPE_Needs_and_expectations_FINAL.pdf"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pamela.leung@rehabsociety.org.hk" TargetMode="External"/><Relationship Id="rId17" Type="http://schemas.openxmlformats.org/officeDocument/2006/relationships/hyperlink" Target="http://www.un.org/sustainabledevelopment/sustainable-development-goals/" TargetMode="External"/><Relationship Id="rId25" Type="http://schemas.openxmlformats.org/officeDocument/2006/relationships/hyperlink" Target="http://www.legco.gov.hk/yr16-17/english/panels/ws/papers/hsws20170224cb2-884-1-e.pdf" TargetMode="External"/><Relationship Id="rId33" Type="http://schemas.openxmlformats.org/officeDocument/2006/relationships/hyperlink" Target="http://www.tourism.gov.hk/english/about/abt_vision" TargetMode="External"/><Relationship Id="rId38" Type="http://schemas.openxmlformats.org/officeDocument/2006/relationships/hyperlink" Target="https://www.un.org/development/desa/disabilities/issues/disability-inclusive-disaster-risk-reduction-and-emergency-situ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CCA86-BE81-44D2-A98E-C5CC9F6C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2374</Words>
  <Characters>13538</Characters>
  <Application>Microsoft Office Word</Application>
  <DocSecurity>0</DocSecurity>
  <Lines>112</Lines>
  <Paragraphs>31</Paragraphs>
  <ScaleCrop>false</ScaleCrop>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11</cp:revision>
  <dcterms:created xsi:type="dcterms:W3CDTF">2018-07-25T03:01:00Z</dcterms:created>
  <dcterms:modified xsi:type="dcterms:W3CDTF">2018-07-25T03:38:00Z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2013</vt:lpwstr>
  </property>
  <property fmtid="{D5CDD505-2E9C-101B-9397-08002B2CF9AE}" pid="4" name="LastSaved">
    <vt:filetime>2018-07-25T00:00:00Z</vt:filetime>
  </property>
</Properties>
</file>