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91" w:rsidRPr="00050C91" w:rsidRDefault="00050C91" w:rsidP="00050C91">
      <w:pPr>
        <w:widowControl/>
        <w:shd w:val="clear" w:color="auto" w:fill="FFFFFF"/>
        <w:spacing w:before="204" w:after="204" w:line="336" w:lineRule="atLeast"/>
        <w:jc w:val="center"/>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立</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法</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會</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政</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制</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事</w:t>
      </w:r>
      <w:r w:rsidRPr="00050C91">
        <w:rPr>
          <w:rFonts w:ascii="Verdana" w:hAnsi="Verdana" w:cs="新細明體"/>
          <w:color w:val="666666"/>
          <w:kern w:val="0"/>
          <w:sz w:val="20"/>
          <w:szCs w:val="20"/>
        </w:rPr>
        <w:t xml:space="preserve"> </w:t>
      </w:r>
      <w:proofErr w:type="gramStart"/>
      <w:r w:rsidRPr="00050C91">
        <w:rPr>
          <w:rFonts w:ascii="Verdana" w:hAnsi="Verdana" w:cs="新細明體"/>
          <w:color w:val="666666"/>
          <w:kern w:val="0"/>
          <w:sz w:val="20"/>
          <w:szCs w:val="20"/>
        </w:rPr>
        <w:t>務</w:t>
      </w:r>
      <w:proofErr w:type="gramEnd"/>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委</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員</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會</w:t>
      </w:r>
    </w:p>
    <w:p w:rsidR="00050C91" w:rsidRPr="00050C91" w:rsidRDefault="00050C91" w:rsidP="00050C91">
      <w:pPr>
        <w:widowControl/>
        <w:shd w:val="clear" w:color="auto" w:fill="FFFFFF"/>
        <w:spacing w:before="204" w:after="204" w:line="336" w:lineRule="atLeast"/>
        <w:jc w:val="center"/>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聯</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合</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國</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殘</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疾</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人</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權</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利</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委</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員</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會</w:t>
      </w:r>
    </w:p>
    <w:p w:rsidR="00050C91" w:rsidRPr="00050C91" w:rsidRDefault="00050C91" w:rsidP="00050C91">
      <w:pPr>
        <w:widowControl/>
        <w:shd w:val="clear" w:color="auto" w:fill="FFFFFF"/>
        <w:spacing w:before="204" w:after="204" w:line="336" w:lineRule="atLeast"/>
        <w:jc w:val="center"/>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根</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據</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中</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華</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人</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民</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共</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和</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國</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香</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港</w:t>
      </w:r>
      <w:r w:rsidRPr="00050C91">
        <w:rPr>
          <w:rFonts w:ascii="Verdana" w:hAnsi="Verdana" w:cs="新細明體"/>
          <w:color w:val="666666"/>
          <w:kern w:val="0"/>
          <w:sz w:val="20"/>
          <w:szCs w:val="20"/>
        </w:rPr>
        <w:t xml:space="preserve"> </w:t>
      </w:r>
      <w:proofErr w:type="gramStart"/>
      <w:r w:rsidRPr="00050C91">
        <w:rPr>
          <w:rFonts w:ascii="Verdana" w:hAnsi="Verdana" w:cs="新細明體"/>
          <w:color w:val="666666"/>
          <w:kern w:val="0"/>
          <w:sz w:val="20"/>
          <w:szCs w:val="20"/>
        </w:rPr>
        <w:t>特</w:t>
      </w:r>
      <w:proofErr w:type="gramEnd"/>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別</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行</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政</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區</w:t>
      </w:r>
    </w:p>
    <w:p w:rsidR="00050C91" w:rsidRPr="00050C91" w:rsidRDefault="00050C91" w:rsidP="00050C91">
      <w:pPr>
        <w:widowControl/>
        <w:shd w:val="clear" w:color="auto" w:fill="FFFFFF"/>
        <w:spacing w:before="204" w:after="204" w:line="336" w:lineRule="atLeast"/>
        <w:jc w:val="center"/>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就</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殘</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疾</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人</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權</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利</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公</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約</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提</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交</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的</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首</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份</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報</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告</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的</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結</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論</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意</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見</w:t>
      </w:r>
    </w:p>
    <w:p w:rsidR="00050C91" w:rsidRPr="00050C91" w:rsidRDefault="00050C91" w:rsidP="00050C91">
      <w:pPr>
        <w:widowControl/>
        <w:shd w:val="clear" w:color="auto" w:fill="FFFFFF"/>
        <w:spacing w:line="336" w:lineRule="atLeast"/>
        <w:jc w:val="center"/>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香港</w:t>
      </w:r>
      <w:proofErr w:type="gramStart"/>
      <w:r w:rsidRPr="00050C91">
        <w:rPr>
          <w:rFonts w:ascii="Verdana" w:hAnsi="Verdana" w:cs="新細明體"/>
          <w:color w:val="666666"/>
          <w:kern w:val="0"/>
          <w:sz w:val="20"/>
          <w:szCs w:val="20"/>
        </w:rPr>
        <w:t>復康會研究</w:t>
      </w:r>
      <w:proofErr w:type="gramEnd"/>
      <w:r w:rsidRPr="00050C91">
        <w:rPr>
          <w:rFonts w:ascii="Verdana" w:hAnsi="Verdana" w:cs="新細明體"/>
          <w:color w:val="666666"/>
          <w:kern w:val="0"/>
          <w:sz w:val="20"/>
          <w:szCs w:val="20"/>
        </w:rPr>
        <w:t>及倡議中心</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意見書</w:t>
      </w:r>
      <w:r w:rsidRPr="00050C91">
        <w:rPr>
          <w:rFonts w:ascii="inherit" w:hAnsi="inherit" w:cs="新細明體"/>
          <w:color w:val="666666"/>
          <w:kern w:val="0"/>
          <w:sz w:val="20"/>
        </w:rPr>
        <w:t> </w:t>
      </w:r>
      <w:r w:rsidRPr="00050C91">
        <w:rPr>
          <w:rFonts w:ascii="inherit" w:hAnsi="inherit" w:cs="新細明體"/>
          <w:color w:val="666666"/>
          <w:kern w:val="0"/>
          <w:sz w:val="20"/>
          <w:szCs w:val="20"/>
          <w:bdr w:val="none" w:sz="0" w:space="0" w:color="auto" w:frame="1"/>
        </w:rPr>
        <w:t>(</w:t>
      </w:r>
      <w:r w:rsidRPr="00050C91">
        <w:rPr>
          <w:rFonts w:ascii="Verdana" w:hAnsi="Verdana" w:cs="新細明體"/>
          <w:color w:val="666666"/>
          <w:kern w:val="0"/>
          <w:sz w:val="20"/>
          <w:szCs w:val="20"/>
        </w:rPr>
        <w:t>初稿</w:t>
      </w:r>
      <w:r w:rsidRPr="00050C91">
        <w:rPr>
          <w:rFonts w:ascii="inherit" w:hAnsi="inherit" w:cs="新細明體"/>
          <w:color w:val="666666"/>
          <w:kern w:val="0"/>
          <w:sz w:val="20"/>
          <w:szCs w:val="20"/>
          <w:bdr w:val="none" w:sz="0" w:space="0" w:color="auto" w:frame="1"/>
        </w:rPr>
        <w:t>)</w:t>
      </w:r>
    </w:p>
    <w:p w:rsidR="00050C91" w:rsidRPr="00050C91" w:rsidRDefault="00050C91" w:rsidP="00050C91">
      <w:pPr>
        <w:widowControl/>
        <w:shd w:val="clear" w:color="auto" w:fill="FFFFFF"/>
        <w:spacing w:line="336" w:lineRule="atLeast"/>
        <w:jc w:val="center"/>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熊德鳳女士</w:t>
      </w:r>
      <w:r w:rsidRPr="00050C91">
        <w:rPr>
          <w:rFonts w:ascii="inherit" w:hAnsi="inherit" w:cs="新細明體"/>
          <w:color w:val="666666"/>
          <w:kern w:val="0"/>
          <w:sz w:val="20"/>
          <w:szCs w:val="20"/>
          <w:bdr w:val="none" w:sz="0" w:space="0" w:color="auto" w:frame="1"/>
        </w:rPr>
        <w:t>                              </w:t>
      </w:r>
    </w:p>
    <w:p w:rsidR="00050C91" w:rsidRPr="00050C91" w:rsidRDefault="00050C91" w:rsidP="00050C91">
      <w:pPr>
        <w:widowControl/>
        <w:shd w:val="clear" w:color="auto" w:fill="FFFFFF"/>
        <w:spacing w:before="204" w:after="204"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 xml:space="preserve">(A) </w:t>
      </w:r>
      <w:r w:rsidRPr="00050C91">
        <w:rPr>
          <w:rFonts w:ascii="Verdana" w:hAnsi="Verdana" w:cs="新細明體"/>
          <w:color w:val="666666"/>
          <w:kern w:val="0"/>
          <w:sz w:val="20"/>
          <w:szCs w:val="20"/>
        </w:rPr>
        <w:t>簡介：</w:t>
      </w:r>
    </w:p>
    <w:p w:rsidR="00050C91" w:rsidRPr="00050C91" w:rsidRDefault="00050C91" w:rsidP="00050C91">
      <w:pPr>
        <w:widowControl/>
        <w:shd w:val="clear" w:color="auto" w:fill="FFFFFF"/>
        <w:spacing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香港</w:t>
      </w:r>
      <w:proofErr w:type="gramStart"/>
      <w:r w:rsidRPr="00050C91">
        <w:rPr>
          <w:rFonts w:ascii="Verdana" w:hAnsi="Verdana" w:cs="新細明體"/>
          <w:color w:val="666666"/>
          <w:kern w:val="0"/>
          <w:sz w:val="20"/>
          <w:szCs w:val="20"/>
        </w:rPr>
        <w:t>復康會自</w:t>
      </w:r>
      <w:proofErr w:type="gramEnd"/>
      <w:r w:rsidRPr="00050C91">
        <w:rPr>
          <w:rFonts w:ascii="inherit" w:hAnsi="inherit" w:cs="新細明體"/>
          <w:color w:val="666666"/>
          <w:kern w:val="0"/>
          <w:sz w:val="20"/>
          <w:szCs w:val="20"/>
          <w:bdr w:val="none" w:sz="0" w:space="0" w:color="auto" w:frame="1"/>
        </w:rPr>
        <w:t>1959</w:t>
      </w:r>
      <w:r w:rsidRPr="00050C91">
        <w:rPr>
          <w:rFonts w:ascii="inherit" w:hAnsi="inherit" w:cs="新細明體"/>
          <w:color w:val="666666"/>
          <w:kern w:val="0"/>
          <w:sz w:val="20"/>
        </w:rPr>
        <w:t> </w:t>
      </w:r>
      <w:r w:rsidRPr="00050C91">
        <w:rPr>
          <w:rFonts w:ascii="Verdana" w:hAnsi="Verdana" w:cs="新細明體"/>
          <w:color w:val="666666"/>
          <w:kern w:val="0"/>
          <w:sz w:val="20"/>
          <w:szCs w:val="20"/>
        </w:rPr>
        <w:t>年成立，一直關注殘疾人士及其家屬的福祉。服務包括無障礙運輸及旅遊、全人復康和持續照顧等。</w:t>
      </w:r>
      <w:r w:rsidRPr="00050C91">
        <w:rPr>
          <w:rFonts w:ascii="inherit" w:hAnsi="inherit" w:cs="新細明體"/>
          <w:color w:val="666666"/>
          <w:kern w:val="0"/>
          <w:sz w:val="20"/>
          <w:szCs w:val="20"/>
          <w:bdr w:val="none" w:sz="0" w:space="0" w:color="auto" w:frame="1"/>
        </w:rPr>
        <w:t>1994</w:t>
      </w:r>
      <w:r w:rsidRPr="00050C91">
        <w:rPr>
          <w:rFonts w:ascii="inherit" w:hAnsi="inherit" w:cs="新細明體"/>
          <w:color w:val="666666"/>
          <w:kern w:val="0"/>
          <w:sz w:val="20"/>
        </w:rPr>
        <w:t> </w:t>
      </w:r>
      <w:r w:rsidRPr="00050C91">
        <w:rPr>
          <w:rFonts w:ascii="Verdana" w:hAnsi="Verdana" w:cs="新細明體"/>
          <w:color w:val="666666"/>
          <w:kern w:val="0"/>
          <w:sz w:val="20"/>
          <w:szCs w:val="20"/>
        </w:rPr>
        <w:t>年成立社區復康網絡，主要服務長期病患者，當中包括很多器官殘障及肢體傷殘人士。</w:t>
      </w:r>
      <w:r w:rsidRPr="00050C91">
        <w:rPr>
          <w:rFonts w:ascii="inherit" w:hAnsi="inherit" w:cs="新細明體"/>
          <w:color w:val="666666"/>
          <w:kern w:val="0"/>
          <w:sz w:val="20"/>
          <w:szCs w:val="20"/>
          <w:bdr w:val="none" w:sz="0" w:space="0" w:color="auto" w:frame="1"/>
        </w:rPr>
        <w:t>2012</w:t>
      </w:r>
      <w:r w:rsidRPr="00050C91">
        <w:rPr>
          <w:rFonts w:ascii="inherit" w:hAnsi="inherit" w:cs="新細明體"/>
          <w:color w:val="666666"/>
          <w:kern w:val="0"/>
          <w:sz w:val="20"/>
        </w:rPr>
        <w:t> </w:t>
      </w:r>
      <w:r w:rsidRPr="00050C91">
        <w:rPr>
          <w:rFonts w:ascii="Verdana" w:hAnsi="Verdana" w:cs="新細明體"/>
          <w:color w:val="666666"/>
          <w:kern w:val="0"/>
          <w:sz w:val="20"/>
          <w:szCs w:val="20"/>
        </w:rPr>
        <w:t>年成立研究及倡議中心，透過實證為本之研究，倡議殘疾人士的需要，創建共融的社會。由於審議結論涉及範圍甚廣，本中心只集中於有關傷殘津貼定義、健康權及生命權的討論。</w:t>
      </w:r>
    </w:p>
    <w:p w:rsidR="00050C91" w:rsidRPr="00050C91" w:rsidRDefault="00050C91" w:rsidP="00050C91">
      <w:pPr>
        <w:widowControl/>
        <w:shd w:val="clear" w:color="auto" w:fill="FFFFFF"/>
        <w:spacing w:before="204" w:after="204"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(B)</w:t>
      </w:r>
      <w:r w:rsidRPr="00050C91">
        <w:rPr>
          <w:rFonts w:ascii="Verdana" w:hAnsi="Verdana" w:cs="新細明體"/>
          <w:color w:val="666666"/>
          <w:kern w:val="0"/>
          <w:sz w:val="20"/>
          <w:szCs w:val="20"/>
        </w:rPr>
        <w:t>主要內容</w:t>
      </w:r>
    </w:p>
    <w:p w:rsidR="00050C91" w:rsidRPr="00050C91" w:rsidRDefault="00050C91" w:rsidP="00050C91">
      <w:pPr>
        <w:widowControl/>
        <w:shd w:val="clear" w:color="auto" w:fill="FFFFFF"/>
        <w:spacing w:before="204" w:after="204"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 xml:space="preserve">1) </w:t>
      </w:r>
      <w:r w:rsidRPr="00050C91">
        <w:rPr>
          <w:rFonts w:ascii="Verdana" w:hAnsi="Verdana" w:cs="新細明體"/>
          <w:color w:val="666666"/>
          <w:kern w:val="0"/>
          <w:sz w:val="20"/>
          <w:szCs w:val="20"/>
        </w:rPr>
        <w:t>殘疾定義以至整個傷殘津貼的評估、審批制度</w:t>
      </w:r>
    </w:p>
    <w:p w:rsidR="00050C91" w:rsidRPr="00050C91" w:rsidRDefault="00050C91" w:rsidP="00050C91">
      <w:pPr>
        <w:widowControl/>
        <w:shd w:val="clear" w:color="auto" w:fill="FFFFFF"/>
        <w:spacing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自</w:t>
      </w:r>
      <w:r w:rsidRPr="00050C91">
        <w:rPr>
          <w:rFonts w:ascii="inherit" w:hAnsi="inherit" w:cs="新細明體"/>
          <w:color w:val="666666"/>
          <w:kern w:val="0"/>
          <w:sz w:val="20"/>
          <w:szCs w:val="20"/>
          <w:bdr w:val="none" w:sz="0" w:space="0" w:color="auto" w:frame="1"/>
        </w:rPr>
        <w:t>2005</w:t>
      </w:r>
      <w:r w:rsidRPr="00050C91">
        <w:rPr>
          <w:rFonts w:ascii="Verdana" w:hAnsi="Verdana" w:cs="新細明體"/>
          <w:color w:val="666666"/>
          <w:kern w:val="0"/>
          <w:sz w:val="20"/>
          <w:szCs w:val="20"/>
        </w:rPr>
        <w:t>年始，殘疾人士、他們的照顧者、自助組織及康復機構一直與立法會福利事務委員會、前衞生福利及食物局、等會晤，希望可以在傷殘津貼事宜作檢討。</w:t>
      </w:r>
    </w:p>
    <w:p w:rsidR="00050C91" w:rsidRPr="00050C91" w:rsidRDefault="00050C91" w:rsidP="00050C91">
      <w:pPr>
        <w:widowControl/>
        <w:shd w:val="clear" w:color="auto" w:fill="FFFFFF"/>
        <w:spacing w:before="204" w:after="204"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然而，他們提出的訴求都沒有得到回應和落實。時至今天，即使我們香港的傷殘津貼制度不合時宜，申訴專員亦提交了主動調查報告，復康措施被國際社會關注，而《國際功能、殘疾和健康分類》已在不同地方應用，今天</w:t>
      </w:r>
      <w:proofErr w:type="gramStart"/>
      <w:r w:rsidRPr="00050C91">
        <w:rPr>
          <w:rFonts w:ascii="Verdana" w:hAnsi="Verdana" w:cs="新細明體"/>
          <w:color w:val="666666"/>
          <w:kern w:val="0"/>
          <w:sz w:val="20"/>
          <w:szCs w:val="20"/>
        </w:rPr>
        <w:t>勞</w:t>
      </w:r>
      <w:proofErr w:type="gramEnd"/>
      <w:r w:rsidRPr="00050C91">
        <w:rPr>
          <w:rFonts w:ascii="Verdana" w:hAnsi="Verdana" w:cs="新細明體"/>
          <w:color w:val="666666"/>
          <w:kern w:val="0"/>
          <w:sz w:val="20"/>
          <w:szCs w:val="20"/>
        </w:rPr>
        <w:t>福局</w:t>
      </w:r>
      <w:proofErr w:type="gramStart"/>
      <w:r w:rsidRPr="00050C91">
        <w:rPr>
          <w:rFonts w:ascii="Verdana" w:hAnsi="Verdana" w:cs="新細明體"/>
          <w:color w:val="666666"/>
          <w:kern w:val="0"/>
          <w:sz w:val="20"/>
          <w:szCs w:val="20"/>
        </w:rPr>
        <w:t>局</w:t>
      </w:r>
      <w:proofErr w:type="gramEnd"/>
      <w:r w:rsidRPr="00050C91">
        <w:rPr>
          <w:rFonts w:ascii="Verdana" w:hAnsi="Verdana" w:cs="新細明體"/>
          <w:color w:val="666666"/>
          <w:kern w:val="0"/>
          <w:sz w:val="20"/>
          <w:szCs w:val="20"/>
        </w:rPr>
        <w:t>方的回應仍只是「會不時檢討各種為殘疾人士提供的康復措施及福利服務。」</w:t>
      </w:r>
      <w:r w:rsidRPr="00050C91">
        <w:rPr>
          <w:rFonts w:ascii="Verdana" w:hAnsi="Verdana" w:cs="新細明體"/>
          <w:color w:val="666666"/>
          <w:kern w:val="0"/>
          <w:sz w:val="20"/>
          <w:szCs w:val="20"/>
        </w:rPr>
        <w:t>…</w:t>
      </w:r>
      <w:r w:rsidRPr="00050C91">
        <w:rPr>
          <w:rFonts w:ascii="Verdana" w:hAnsi="Verdana" w:cs="新細明體"/>
          <w:color w:val="666666"/>
          <w:kern w:val="0"/>
          <w:sz w:val="20"/>
          <w:szCs w:val="20"/>
        </w:rPr>
        <w:t>「政府當局會注意國際趨勢，</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按需要作出修訂。」與殘疾人士、業界、社會、甚至國際社會的期望落差很大。</w:t>
      </w:r>
    </w:p>
    <w:p w:rsidR="00050C91" w:rsidRPr="00050C91" w:rsidRDefault="00050C91" w:rsidP="00050C91">
      <w:pPr>
        <w:widowControl/>
        <w:shd w:val="clear" w:color="auto" w:fill="FFFFFF"/>
        <w:spacing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《國際功能、殘疾和健康分類》是於</w:t>
      </w:r>
      <w:r w:rsidRPr="00050C91">
        <w:rPr>
          <w:rFonts w:ascii="inherit" w:hAnsi="inherit" w:cs="新細明體"/>
          <w:color w:val="666666"/>
          <w:kern w:val="0"/>
          <w:sz w:val="20"/>
          <w:szCs w:val="20"/>
          <w:bdr w:val="none" w:sz="0" w:space="0" w:color="auto" w:frame="1"/>
        </w:rPr>
        <w:t>1980</w:t>
      </w:r>
      <w:r w:rsidRPr="00050C91">
        <w:rPr>
          <w:rFonts w:ascii="Verdana" w:hAnsi="Verdana" w:cs="新細明體"/>
          <w:color w:val="666666"/>
          <w:kern w:val="0"/>
          <w:sz w:val="20"/>
          <w:szCs w:val="20"/>
        </w:rPr>
        <w:t>年開始發展。經過多年的國際研究及測試，</w:t>
      </w:r>
      <w:proofErr w:type="gramStart"/>
      <w:r w:rsidRPr="00050C91">
        <w:rPr>
          <w:rFonts w:ascii="Verdana" w:hAnsi="Verdana" w:cs="新細明體"/>
          <w:color w:val="666666"/>
          <w:kern w:val="0"/>
          <w:sz w:val="20"/>
          <w:szCs w:val="20"/>
        </w:rPr>
        <w:t>世</w:t>
      </w:r>
      <w:proofErr w:type="gramEnd"/>
      <w:r w:rsidRPr="00050C91">
        <w:rPr>
          <w:rFonts w:ascii="Verdana" w:hAnsi="Verdana" w:cs="新細明體"/>
          <w:color w:val="666666"/>
          <w:kern w:val="0"/>
          <w:sz w:val="20"/>
          <w:szCs w:val="20"/>
        </w:rPr>
        <w:t>衛於</w:t>
      </w:r>
      <w:r w:rsidRPr="00050C91">
        <w:rPr>
          <w:rFonts w:ascii="inherit" w:hAnsi="inherit" w:cs="新細明體"/>
          <w:color w:val="666666"/>
          <w:kern w:val="0"/>
          <w:sz w:val="20"/>
          <w:szCs w:val="20"/>
          <w:bdr w:val="none" w:sz="0" w:space="0" w:color="auto" w:frame="1"/>
        </w:rPr>
        <w:t>2001</w:t>
      </w:r>
      <w:r w:rsidRPr="00050C91">
        <w:rPr>
          <w:rFonts w:ascii="Verdana" w:hAnsi="Verdana" w:cs="新細明體"/>
          <w:color w:val="666666"/>
          <w:kern w:val="0"/>
          <w:sz w:val="20"/>
          <w:szCs w:val="20"/>
        </w:rPr>
        <w:t>年</w:t>
      </w:r>
      <w:r w:rsidRPr="00050C91">
        <w:rPr>
          <w:rFonts w:ascii="inherit" w:hAnsi="inherit" w:cs="新細明體"/>
          <w:color w:val="666666"/>
          <w:kern w:val="0"/>
          <w:sz w:val="20"/>
          <w:szCs w:val="20"/>
          <w:bdr w:val="none" w:sz="0" w:space="0" w:color="auto" w:frame="1"/>
        </w:rPr>
        <w:t>5</w:t>
      </w:r>
      <w:r w:rsidRPr="00050C91">
        <w:rPr>
          <w:rFonts w:ascii="Verdana" w:hAnsi="Verdana" w:cs="新細明體"/>
          <w:color w:val="666666"/>
          <w:kern w:val="0"/>
          <w:sz w:val="20"/>
          <w:szCs w:val="20"/>
        </w:rPr>
        <w:t>月第五十四届世界衛生大會通過，認可國際殘疾分類第二版</w:t>
      </w:r>
      <w:r w:rsidRPr="00050C91">
        <w:rPr>
          <w:rFonts w:ascii="inherit" w:hAnsi="inherit" w:cs="新細明體"/>
          <w:color w:val="666666"/>
          <w:kern w:val="0"/>
          <w:sz w:val="20"/>
          <w:szCs w:val="20"/>
          <w:bdr w:val="none" w:sz="0" w:space="0" w:color="auto" w:frame="1"/>
        </w:rPr>
        <w:t>ICIDH</w:t>
      </w:r>
      <w:r w:rsidRPr="00050C91">
        <w:rPr>
          <w:rFonts w:ascii="Verdana" w:hAnsi="Verdana" w:cs="新細明體"/>
          <w:color w:val="666666"/>
          <w:kern w:val="0"/>
          <w:sz w:val="20"/>
          <w:szCs w:val="20"/>
        </w:rPr>
        <w:t>，題為《國際功能、殘疾和健康分類》，中文簡稱《國際功能分類》，英文簡稱</w:t>
      </w:r>
      <w:r w:rsidRPr="00050C91">
        <w:rPr>
          <w:rFonts w:ascii="inherit" w:hAnsi="inherit" w:cs="新細明體"/>
          <w:color w:val="666666"/>
          <w:kern w:val="0"/>
          <w:sz w:val="20"/>
        </w:rPr>
        <w:t> </w:t>
      </w:r>
      <w:r w:rsidRPr="00050C91">
        <w:rPr>
          <w:rFonts w:ascii="inherit" w:hAnsi="inherit" w:cs="新細明體"/>
          <w:color w:val="666666"/>
          <w:kern w:val="0"/>
          <w:sz w:val="20"/>
          <w:szCs w:val="20"/>
          <w:bdr w:val="none" w:sz="0" w:space="0" w:color="auto" w:frame="1"/>
        </w:rPr>
        <w:t>ICF</w:t>
      </w:r>
      <w:r w:rsidRPr="00050C91">
        <w:rPr>
          <w:rFonts w:ascii="Verdana" w:hAnsi="Verdana" w:cs="新細明體"/>
          <w:color w:val="666666"/>
          <w:kern w:val="0"/>
          <w:sz w:val="20"/>
          <w:szCs w:val="20"/>
        </w:rPr>
        <w:t>，鼓勵各國使用。結合了</w:t>
      </w:r>
      <w:r w:rsidRPr="00050C91">
        <w:rPr>
          <w:rFonts w:ascii="inherit" w:hAnsi="inherit" w:cs="新細明體"/>
          <w:color w:val="666666"/>
          <w:kern w:val="0"/>
          <w:sz w:val="20"/>
          <w:szCs w:val="20"/>
          <w:bdr w:val="none" w:sz="0" w:space="0" w:color="auto" w:frame="1"/>
        </w:rPr>
        <w:t>20</w:t>
      </w:r>
      <w:r w:rsidRPr="00050C91">
        <w:rPr>
          <w:rFonts w:ascii="inherit" w:hAnsi="inherit" w:cs="新細明體"/>
          <w:color w:val="666666"/>
          <w:kern w:val="0"/>
          <w:sz w:val="20"/>
        </w:rPr>
        <w:t> </w:t>
      </w:r>
      <w:r w:rsidRPr="00050C91">
        <w:rPr>
          <w:rFonts w:ascii="Verdana" w:hAnsi="Verdana" w:cs="新細明體"/>
          <w:color w:val="666666"/>
          <w:kern w:val="0"/>
          <w:sz w:val="20"/>
          <w:szCs w:val="20"/>
        </w:rPr>
        <w:t>年的研究、推行了十一年，</w:t>
      </w:r>
      <w:r w:rsidRPr="00050C91">
        <w:rPr>
          <w:rFonts w:ascii="inherit" w:hAnsi="inherit" w:cs="新細明體"/>
          <w:color w:val="666666"/>
          <w:kern w:val="0"/>
          <w:sz w:val="20"/>
          <w:szCs w:val="20"/>
          <w:bdr w:val="none" w:sz="0" w:space="0" w:color="auto" w:frame="1"/>
        </w:rPr>
        <w:t>ICF</w:t>
      </w:r>
      <w:r w:rsidRPr="00050C91">
        <w:rPr>
          <w:rFonts w:ascii="inherit" w:hAnsi="inherit" w:cs="新細明體"/>
          <w:color w:val="666666"/>
          <w:kern w:val="0"/>
          <w:sz w:val="20"/>
        </w:rPr>
        <w:t> </w:t>
      </w:r>
      <w:r w:rsidRPr="00050C91">
        <w:rPr>
          <w:rFonts w:ascii="Verdana" w:hAnsi="Verdana" w:cs="新細明體"/>
          <w:color w:val="666666"/>
          <w:kern w:val="0"/>
          <w:sz w:val="20"/>
          <w:szCs w:val="20"/>
        </w:rPr>
        <w:t>已於不同地方應用。目前德國、美國、澳洲、台灣、韓國、日本及意大利政府都在不同程度將</w:t>
      </w:r>
      <w:r w:rsidRPr="00050C91">
        <w:rPr>
          <w:rFonts w:ascii="inherit" w:hAnsi="inherit" w:cs="新細明體"/>
          <w:color w:val="666666"/>
          <w:kern w:val="0"/>
          <w:sz w:val="20"/>
          <w:szCs w:val="20"/>
          <w:bdr w:val="none" w:sz="0" w:space="0" w:color="auto" w:frame="1"/>
        </w:rPr>
        <w:t>ICF</w:t>
      </w:r>
      <w:r w:rsidRPr="00050C91">
        <w:rPr>
          <w:rFonts w:ascii="inherit" w:hAnsi="inherit" w:cs="新細明體"/>
          <w:color w:val="666666"/>
          <w:kern w:val="0"/>
          <w:sz w:val="20"/>
        </w:rPr>
        <w:t> </w:t>
      </w:r>
      <w:r w:rsidRPr="00050C91">
        <w:rPr>
          <w:rFonts w:ascii="Verdana" w:hAnsi="Verdana" w:cs="新細明體"/>
          <w:color w:val="666666"/>
          <w:kern w:val="0"/>
          <w:sz w:val="20"/>
          <w:szCs w:val="20"/>
        </w:rPr>
        <w:t>應用於他們的醫療、社會福利及人口普查中。</w:t>
      </w:r>
    </w:p>
    <w:p w:rsidR="00050C91" w:rsidRPr="00050C91" w:rsidRDefault="00050C91" w:rsidP="00050C91">
      <w:pPr>
        <w:widowControl/>
        <w:shd w:val="clear" w:color="auto" w:fill="FFFFFF"/>
        <w:spacing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台灣已經透過多年的探討，行政院衛生署於已正式把</w:t>
      </w:r>
      <w:r w:rsidRPr="00050C91">
        <w:rPr>
          <w:rFonts w:ascii="inherit" w:hAnsi="inherit" w:cs="新細明體"/>
          <w:color w:val="666666"/>
          <w:kern w:val="0"/>
          <w:sz w:val="20"/>
          <w:szCs w:val="20"/>
          <w:bdr w:val="none" w:sz="0" w:space="0" w:color="auto" w:frame="1"/>
        </w:rPr>
        <w:t>ICF</w:t>
      </w:r>
      <w:r w:rsidRPr="00050C91">
        <w:rPr>
          <w:rFonts w:ascii="inherit" w:hAnsi="inherit" w:cs="新細明體"/>
          <w:color w:val="666666"/>
          <w:kern w:val="0"/>
          <w:sz w:val="20"/>
        </w:rPr>
        <w:t> </w:t>
      </w:r>
      <w:r w:rsidRPr="00050C91">
        <w:rPr>
          <w:rFonts w:ascii="Verdana" w:hAnsi="Verdana" w:cs="新細明體"/>
          <w:color w:val="666666"/>
          <w:kern w:val="0"/>
          <w:sz w:val="20"/>
          <w:szCs w:val="20"/>
        </w:rPr>
        <w:t>正式納入身心障礙權益保障法，並於</w:t>
      </w:r>
      <w:r w:rsidRPr="00050C91">
        <w:rPr>
          <w:rFonts w:ascii="inherit" w:hAnsi="inherit" w:cs="新細明體"/>
          <w:color w:val="666666"/>
          <w:kern w:val="0"/>
          <w:sz w:val="20"/>
          <w:szCs w:val="20"/>
          <w:bdr w:val="none" w:sz="0" w:space="0" w:color="auto" w:frame="1"/>
        </w:rPr>
        <w:t>2012</w:t>
      </w:r>
      <w:r w:rsidRPr="00050C91">
        <w:rPr>
          <w:rFonts w:ascii="Verdana" w:hAnsi="Verdana" w:cs="新細明體"/>
          <w:color w:val="666666"/>
          <w:kern w:val="0"/>
          <w:sz w:val="20"/>
          <w:szCs w:val="20"/>
        </w:rPr>
        <w:t>年</w:t>
      </w:r>
      <w:r w:rsidRPr="00050C91">
        <w:rPr>
          <w:rFonts w:ascii="inherit" w:hAnsi="inherit" w:cs="新細明體"/>
          <w:color w:val="666666"/>
          <w:kern w:val="0"/>
          <w:sz w:val="20"/>
          <w:szCs w:val="20"/>
          <w:bdr w:val="none" w:sz="0" w:space="0" w:color="auto" w:frame="1"/>
        </w:rPr>
        <w:t>7</w:t>
      </w:r>
      <w:r w:rsidRPr="00050C91">
        <w:rPr>
          <w:rFonts w:ascii="Verdana" w:hAnsi="Verdana" w:cs="新細明體"/>
          <w:color w:val="666666"/>
          <w:kern w:val="0"/>
          <w:sz w:val="20"/>
          <w:szCs w:val="20"/>
        </w:rPr>
        <w:t>月</w:t>
      </w:r>
      <w:r w:rsidRPr="00050C91">
        <w:rPr>
          <w:rFonts w:ascii="inherit" w:hAnsi="inherit" w:cs="新細明體"/>
          <w:color w:val="666666"/>
          <w:kern w:val="0"/>
          <w:sz w:val="20"/>
          <w:szCs w:val="20"/>
          <w:bdr w:val="none" w:sz="0" w:space="0" w:color="auto" w:frame="1"/>
        </w:rPr>
        <w:t>11</w:t>
      </w:r>
      <w:r w:rsidRPr="00050C91">
        <w:rPr>
          <w:rFonts w:ascii="Verdana" w:hAnsi="Verdana" w:cs="新細明體"/>
          <w:color w:val="666666"/>
          <w:kern w:val="0"/>
          <w:sz w:val="20"/>
          <w:szCs w:val="20"/>
        </w:rPr>
        <w:t>日全面實施。</w:t>
      </w:r>
    </w:p>
    <w:p w:rsidR="00050C91" w:rsidRPr="00050C91" w:rsidRDefault="00050C91" w:rsidP="00050C91">
      <w:pPr>
        <w:widowControl/>
        <w:shd w:val="clear" w:color="auto" w:fill="FFFFFF"/>
        <w:spacing w:before="204" w:after="204"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台灣身心障礙權益保障法</w:t>
      </w:r>
    </w:p>
    <w:p w:rsidR="00050C91" w:rsidRPr="00050C91" w:rsidRDefault="00050C91" w:rsidP="00050C91">
      <w:pPr>
        <w:widowControl/>
        <w:shd w:val="clear" w:color="auto" w:fill="FFFFFF"/>
        <w:spacing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一、權法修正公布，於</w:t>
      </w:r>
      <w:r w:rsidRPr="00050C91">
        <w:rPr>
          <w:rFonts w:ascii="inherit" w:hAnsi="inherit" w:cs="新細明體"/>
          <w:color w:val="666666"/>
          <w:kern w:val="0"/>
          <w:sz w:val="20"/>
          <w:szCs w:val="20"/>
          <w:bdr w:val="none" w:sz="0" w:space="0" w:color="auto" w:frame="1"/>
        </w:rPr>
        <w:t>101</w:t>
      </w:r>
      <w:r w:rsidRPr="00050C91">
        <w:rPr>
          <w:rFonts w:ascii="Verdana" w:hAnsi="Verdana" w:cs="新細明體"/>
          <w:color w:val="666666"/>
          <w:kern w:val="0"/>
          <w:sz w:val="20"/>
          <w:szCs w:val="20"/>
        </w:rPr>
        <w:t>年</w:t>
      </w:r>
      <w:r w:rsidRPr="00050C91">
        <w:rPr>
          <w:rFonts w:ascii="inherit" w:hAnsi="inherit" w:cs="新細明體"/>
          <w:color w:val="666666"/>
          <w:kern w:val="0"/>
          <w:sz w:val="20"/>
          <w:szCs w:val="20"/>
          <w:bdr w:val="none" w:sz="0" w:space="0" w:color="auto" w:frame="1"/>
        </w:rPr>
        <w:t>(</w:t>
      </w:r>
      <w:r w:rsidRPr="00050C91">
        <w:rPr>
          <w:rFonts w:ascii="Verdana" w:hAnsi="Verdana" w:cs="新細明體"/>
          <w:color w:val="666666"/>
          <w:kern w:val="0"/>
          <w:sz w:val="20"/>
          <w:szCs w:val="20"/>
        </w:rPr>
        <w:t>即</w:t>
      </w:r>
      <w:r w:rsidRPr="00050C91">
        <w:rPr>
          <w:rFonts w:ascii="inherit" w:hAnsi="inherit" w:cs="新細明體"/>
          <w:color w:val="666666"/>
          <w:kern w:val="0"/>
          <w:sz w:val="20"/>
          <w:szCs w:val="20"/>
          <w:bdr w:val="none" w:sz="0" w:space="0" w:color="auto" w:frame="1"/>
        </w:rPr>
        <w:t>2012</w:t>
      </w:r>
      <w:r w:rsidRPr="00050C91">
        <w:rPr>
          <w:rFonts w:ascii="Verdana" w:hAnsi="Verdana" w:cs="新細明體"/>
          <w:color w:val="666666"/>
          <w:kern w:val="0"/>
          <w:sz w:val="20"/>
          <w:szCs w:val="20"/>
        </w:rPr>
        <w:t>年</w:t>
      </w:r>
      <w:r w:rsidRPr="00050C91">
        <w:rPr>
          <w:rFonts w:ascii="inherit" w:hAnsi="inherit" w:cs="新細明體"/>
          <w:color w:val="666666"/>
          <w:kern w:val="0"/>
          <w:sz w:val="20"/>
          <w:szCs w:val="20"/>
          <w:bdr w:val="none" w:sz="0" w:space="0" w:color="auto" w:frame="1"/>
        </w:rPr>
        <w:t>)7</w:t>
      </w:r>
      <w:r w:rsidRPr="00050C91">
        <w:rPr>
          <w:rFonts w:ascii="Verdana" w:hAnsi="Verdana" w:cs="新細明體"/>
          <w:color w:val="666666"/>
          <w:kern w:val="0"/>
          <w:sz w:val="20"/>
          <w:szCs w:val="20"/>
        </w:rPr>
        <w:t>月</w:t>
      </w:r>
      <w:r w:rsidRPr="00050C91">
        <w:rPr>
          <w:rFonts w:ascii="inherit" w:hAnsi="inherit" w:cs="新細明體"/>
          <w:color w:val="666666"/>
          <w:kern w:val="0"/>
          <w:sz w:val="20"/>
          <w:szCs w:val="20"/>
          <w:bdr w:val="none" w:sz="0" w:space="0" w:color="auto" w:frame="1"/>
        </w:rPr>
        <w:t>11</w:t>
      </w:r>
      <w:r w:rsidRPr="00050C91">
        <w:rPr>
          <w:rFonts w:ascii="Verdana" w:hAnsi="Verdana" w:cs="新細明體"/>
          <w:color w:val="666666"/>
          <w:kern w:val="0"/>
          <w:sz w:val="20"/>
          <w:szCs w:val="20"/>
        </w:rPr>
        <w:t>日全面實施。</w:t>
      </w:r>
    </w:p>
    <w:p w:rsidR="00050C91" w:rsidRPr="00050C91" w:rsidRDefault="00050C91" w:rsidP="00050C91">
      <w:pPr>
        <w:widowControl/>
        <w:shd w:val="clear" w:color="auto" w:fill="FFFFFF"/>
        <w:spacing w:before="204" w:after="204"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lastRenderedPageBreak/>
        <w:t>二、新制身障鑑定之改變：</w:t>
      </w:r>
    </w:p>
    <w:p w:rsidR="00050C91" w:rsidRPr="00050C91" w:rsidRDefault="00050C91" w:rsidP="00050C91">
      <w:pPr>
        <w:widowControl/>
        <w:shd w:val="clear" w:color="auto" w:fill="FFFFFF"/>
        <w:spacing w:before="204" w:after="204"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新制除舊制的醫療鑑定外，再增加需求評估。</w:t>
      </w:r>
    </w:p>
    <w:p w:rsidR="00050C91" w:rsidRPr="00050C91" w:rsidRDefault="00050C91" w:rsidP="00050C91">
      <w:pPr>
        <w:widowControl/>
        <w:shd w:val="clear" w:color="auto" w:fill="FFFFFF"/>
        <w:spacing w:before="204" w:after="204"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鑑定項目改變：除舊制身體結構、功能為鑑定依據，</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新增社會參與及環境鑑定。</w:t>
      </w:r>
    </w:p>
    <w:p w:rsidR="00050C91" w:rsidRPr="00050C91" w:rsidRDefault="00050C91" w:rsidP="00050C91">
      <w:pPr>
        <w:widowControl/>
        <w:shd w:val="clear" w:color="auto" w:fill="FFFFFF"/>
        <w:spacing w:before="204" w:after="204"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鑑定人員改變：由舊制醫師鑑定後核發身心障礙手冊，</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新制改為由醫療及社工團隊鑑定及需求評估後發身心障礙證明衛生機關完成鑑定報告，</w:t>
      </w:r>
      <w:proofErr w:type="gramStart"/>
      <w:r w:rsidRPr="00050C91">
        <w:rPr>
          <w:rFonts w:ascii="Verdana" w:hAnsi="Verdana" w:cs="新細明體"/>
          <w:color w:val="666666"/>
          <w:kern w:val="0"/>
          <w:sz w:val="20"/>
          <w:szCs w:val="20"/>
        </w:rPr>
        <w:t>轉社政</w:t>
      </w:r>
      <w:proofErr w:type="gramEnd"/>
      <w:r w:rsidRPr="00050C91">
        <w:rPr>
          <w:rFonts w:ascii="Verdana" w:hAnsi="Verdana" w:cs="新細明體"/>
          <w:color w:val="666666"/>
          <w:kern w:val="0"/>
          <w:sz w:val="20"/>
          <w:szCs w:val="20"/>
        </w:rPr>
        <w:t>機關進行需求評估後，合於規定者，核發身心障礙證明，據以提供所需之福利及服務。</w:t>
      </w:r>
    </w:p>
    <w:p w:rsidR="00050C91" w:rsidRPr="00050C91" w:rsidRDefault="00050C91" w:rsidP="00050C91">
      <w:pPr>
        <w:widowControl/>
        <w:shd w:val="clear" w:color="auto" w:fill="FFFFFF"/>
        <w:spacing w:before="204" w:after="204"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身心障礙證明</w:t>
      </w:r>
      <w:proofErr w:type="gramStart"/>
      <w:r w:rsidRPr="00050C91">
        <w:rPr>
          <w:rFonts w:ascii="Verdana" w:hAnsi="Verdana" w:cs="新細明體"/>
          <w:color w:val="666666"/>
          <w:kern w:val="0"/>
          <w:sz w:val="20"/>
          <w:szCs w:val="20"/>
        </w:rPr>
        <w:t>仍列輕</w:t>
      </w:r>
      <w:proofErr w:type="gramEnd"/>
      <w:r w:rsidRPr="00050C91">
        <w:rPr>
          <w:rFonts w:ascii="Verdana" w:hAnsi="Verdana" w:cs="新細明體"/>
          <w:color w:val="666666"/>
          <w:kern w:val="0"/>
          <w:sz w:val="20"/>
          <w:szCs w:val="20"/>
        </w:rPr>
        <w:t>、中、重度及極重度，並依等級不同而有不同福利措施。</w:t>
      </w:r>
    </w:p>
    <w:p w:rsidR="00050C91" w:rsidRPr="00050C91" w:rsidRDefault="00050C91" w:rsidP="00050C91">
      <w:pPr>
        <w:widowControl/>
        <w:shd w:val="clear" w:color="auto" w:fill="FFFFFF"/>
        <w:spacing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至於本港現今平等機會委員會沿用之殘疾定義，雖然是用了十四年，但嚴格來說，它只是一些殘疾的種類或類別，加上時間上</w:t>
      </w:r>
      <w:r w:rsidRPr="00050C91">
        <w:rPr>
          <w:rFonts w:ascii="inherit" w:hAnsi="inherit" w:cs="新細明體"/>
          <w:color w:val="666666"/>
          <w:kern w:val="0"/>
          <w:sz w:val="20"/>
          <w:szCs w:val="20"/>
          <w:bdr w:val="none" w:sz="0" w:space="0" w:color="auto" w:frame="1"/>
        </w:rPr>
        <w:t>(</w:t>
      </w:r>
      <w:r w:rsidRPr="00050C91">
        <w:rPr>
          <w:rFonts w:ascii="Verdana" w:hAnsi="Verdana" w:cs="新細明體"/>
          <w:color w:val="666666"/>
          <w:kern w:val="0"/>
          <w:sz w:val="20"/>
          <w:szCs w:val="20"/>
        </w:rPr>
        <w:t>過去、現在和將來等</w:t>
      </w:r>
      <w:r w:rsidRPr="00050C91">
        <w:rPr>
          <w:rFonts w:ascii="inherit" w:hAnsi="inherit" w:cs="新細明體"/>
          <w:color w:val="666666"/>
          <w:kern w:val="0"/>
          <w:sz w:val="20"/>
          <w:szCs w:val="20"/>
          <w:bdr w:val="none" w:sz="0" w:space="0" w:color="auto" w:frame="1"/>
        </w:rPr>
        <w:t>)</w:t>
      </w:r>
      <w:r w:rsidRPr="00050C91">
        <w:rPr>
          <w:rFonts w:ascii="Verdana" w:hAnsi="Verdana" w:cs="新細明體"/>
          <w:color w:val="666666"/>
          <w:kern w:val="0"/>
          <w:sz w:val="20"/>
          <w:szCs w:val="20"/>
        </w:rPr>
        <w:t>的說明；</w:t>
      </w:r>
      <w:proofErr w:type="gramStart"/>
      <w:r w:rsidRPr="00050C91">
        <w:rPr>
          <w:rFonts w:ascii="Verdana" w:hAnsi="Verdana" w:cs="新細明體"/>
          <w:color w:val="666666"/>
          <w:kern w:val="0"/>
          <w:sz w:val="20"/>
          <w:szCs w:val="20"/>
        </w:rPr>
        <w:t>再者，</w:t>
      </w:r>
      <w:proofErr w:type="gramEnd"/>
      <w:r w:rsidRPr="00050C91">
        <w:rPr>
          <w:rFonts w:ascii="Verdana" w:hAnsi="Verdana" w:cs="新細明體"/>
          <w:color w:val="666666"/>
          <w:kern w:val="0"/>
          <w:sz w:val="20"/>
          <w:szCs w:val="20"/>
        </w:rPr>
        <w:t>此定義亦被聯合國審議報告中詬病。至於，</w:t>
      </w:r>
      <w:proofErr w:type="gramStart"/>
      <w:r w:rsidRPr="00050C91">
        <w:rPr>
          <w:rFonts w:ascii="Verdana" w:hAnsi="Verdana" w:cs="新細明體"/>
          <w:color w:val="666666"/>
          <w:kern w:val="0"/>
          <w:sz w:val="20"/>
          <w:szCs w:val="20"/>
        </w:rPr>
        <w:t>社署現時</w:t>
      </w:r>
      <w:proofErr w:type="gramEnd"/>
      <w:r w:rsidRPr="00050C91">
        <w:rPr>
          <w:rFonts w:ascii="Verdana" w:hAnsi="Verdana" w:cs="新細明體"/>
          <w:color w:val="666666"/>
          <w:kern w:val="0"/>
          <w:sz w:val="20"/>
          <w:szCs w:val="20"/>
        </w:rPr>
        <w:t>沿用，甚至是最新修訂的醫療評估表，是與僱員補償條例掛勾，嚴重傷殘者需「喪失百分百謀生能力」，器官殘障</w:t>
      </w:r>
      <w:r w:rsidRPr="00050C91">
        <w:rPr>
          <w:rFonts w:ascii="inherit" w:hAnsi="inherit" w:cs="新細明體"/>
          <w:color w:val="666666"/>
          <w:kern w:val="0"/>
          <w:sz w:val="20"/>
          <w:szCs w:val="20"/>
          <w:bdr w:val="none" w:sz="0" w:space="0" w:color="auto" w:frame="1"/>
        </w:rPr>
        <w:t>(</w:t>
      </w:r>
      <w:r w:rsidRPr="00050C91">
        <w:rPr>
          <w:rFonts w:ascii="Verdana" w:hAnsi="Verdana" w:cs="新細明體"/>
          <w:color w:val="666666"/>
          <w:kern w:val="0"/>
          <w:sz w:val="20"/>
          <w:szCs w:val="20"/>
        </w:rPr>
        <w:t>即長期病患者</w:t>
      </w:r>
      <w:r w:rsidRPr="00050C91">
        <w:rPr>
          <w:rFonts w:ascii="inherit" w:hAnsi="inherit" w:cs="新細明體"/>
          <w:color w:val="666666"/>
          <w:kern w:val="0"/>
          <w:sz w:val="20"/>
          <w:szCs w:val="20"/>
          <w:bdr w:val="none" w:sz="0" w:space="0" w:color="auto" w:frame="1"/>
        </w:rPr>
        <w:t>)</w:t>
      </w:r>
      <w:r w:rsidRPr="00050C91">
        <w:rPr>
          <w:rFonts w:ascii="inherit" w:hAnsi="inherit" w:cs="新細明體"/>
          <w:color w:val="666666"/>
          <w:kern w:val="0"/>
          <w:sz w:val="20"/>
        </w:rPr>
        <w:t> </w:t>
      </w:r>
      <w:r w:rsidRPr="00050C91">
        <w:rPr>
          <w:rFonts w:ascii="Verdana" w:hAnsi="Verdana" w:cs="新細明體"/>
          <w:color w:val="666666"/>
          <w:kern w:val="0"/>
          <w:sz w:val="20"/>
          <w:szCs w:val="20"/>
        </w:rPr>
        <w:t>需要達至「完全殘疾」才合乎資格。殘疾人士及長期病患者致殘的原因不同，他們不是工傷，需要的不是大筆的賠償；政府無需用這嚴苛的框架限制他們申請一些面對殘疾生活帶來艱難中的補助。這正</w:t>
      </w:r>
      <w:proofErr w:type="gramStart"/>
      <w:r w:rsidRPr="00050C91">
        <w:rPr>
          <w:rFonts w:ascii="Verdana" w:hAnsi="Verdana" w:cs="新細明體"/>
          <w:color w:val="666666"/>
          <w:kern w:val="0"/>
          <w:sz w:val="20"/>
          <w:szCs w:val="20"/>
        </w:rPr>
        <w:t>正與傷津的</w:t>
      </w:r>
      <w:proofErr w:type="gramEnd"/>
      <w:r w:rsidRPr="00050C91">
        <w:rPr>
          <w:rFonts w:ascii="Verdana" w:hAnsi="Verdana" w:cs="新細明體"/>
          <w:color w:val="666666"/>
          <w:kern w:val="0"/>
          <w:sz w:val="20"/>
          <w:szCs w:val="20"/>
        </w:rPr>
        <w:t>目的及精神背道而馳。</w:t>
      </w:r>
    </w:p>
    <w:p w:rsidR="00050C91" w:rsidRPr="00050C91" w:rsidRDefault="00050C91" w:rsidP="00050C91">
      <w:pPr>
        <w:widowControl/>
        <w:shd w:val="clear" w:color="auto" w:fill="FFFFFF"/>
        <w:spacing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過去多年，已有很多殘疾人士因定義的問題而被禠奪</w:t>
      </w:r>
      <w:proofErr w:type="gramStart"/>
      <w:r w:rsidRPr="00050C91">
        <w:rPr>
          <w:rFonts w:ascii="Verdana" w:hAnsi="Verdana" w:cs="新細明體"/>
          <w:color w:val="666666"/>
          <w:kern w:val="0"/>
          <w:sz w:val="20"/>
          <w:szCs w:val="20"/>
        </w:rPr>
        <w:t>了傷津的</w:t>
      </w:r>
      <w:proofErr w:type="gramEnd"/>
      <w:r w:rsidRPr="00050C91">
        <w:rPr>
          <w:rFonts w:ascii="Verdana" w:hAnsi="Verdana" w:cs="新細明體"/>
          <w:color w:val="666666"/>
          <w:kern w:val="0"/>
          <w:sz w:val="20"/>
          <w:szCs w:val="20"/>
        </w:rPr>
        <w:t>補助，在殘疾的生活上百上加斤，無怪乎殘疾者焦慮</w:t>
      </w:r>
      <w:proofErr w:type="gramStart"/>
      <w:r w:rsidRPr="00050C91">
        <w:rPr>
          <w:rFonts w:ascii="Verdana" w:hAnsi="Verdana" w:cs="新細明體"/>
          <w:color w:val="666666"/>
          <w:kern w:val="0"/>
          <w:sz w:val="20"/>
          <w:szCs w:val="20"/>
        </w:rPr>
        <w:t>癥</w:t>
      </w:r>
      <w:proofErr w:type="gramEnd"/>
      <w:r w:rsidRPr="00050C91">
        <w:rPr>
          <w:rFonts w:ascii="Verdana" w:hAnsi="Verdana" w:cs="新細明體"/>
          <w:color w:val="666666"/>
          <w:kern w:val="0"/>
          <w:sz w:val="20"/>
          <w:szCs w:val="20"/>
        </w:rPr>
        <w:t>狀的指數甚高。香港</w:t>
      </w:r>
      <w:proofErr w:type="gramStart"/>
      <w:r w:rsidRPr="00050C91">
        <w:rPr>
          <w:rFonts w:ascii="Verdana" w:hAnsi="Verdana" w:cs="新細明體"/>
          <w:color w:val="666666"/>
          <w:kern w:val="0"/>
          <w:sz w:val="20"/>
          <w:szCs w:val="20"/>
        </w:rPr>
        <w:t>復康會於</w:t>
      </w:r>
      <w:proofErr w:type="gramEnd"/>
      <w:r w:rsidRPr="00050C91">
        <w:rPr>
          <w:rFonts w:ascii="inherit" w:hAnsi="inherit" w:cs="新細明體"/>
          <w:color w:val="666666"/>
          <w:kern w:val="0"/>
          <w:sz w:val="20"/>
          <w:szCs w:val="20"/>
          <w:bdr w:val="none" w:sz="0" w:space="0" w:color="auto" w:frame="1"/>
        </w:rPr>
        <w:t>2012</w:t>
      </w:r>
      <w:r w:rsidRPr="00050C91">
        <w:rPr>
          <w:rFonts w:ascii="inherit" w:hAnsi="inherit" w:cs="新細明體"/>
          <w:color w:val="666666"/>
          <w:kern w:val="0"/>
          <w:sz w:val="20"/>
        </w:rPr>
        <w:t> </w:t>
      </w:r>
      <w:r w:rsidRPr="00050C91">
        <w:rPr>
          <w:rFonts w:ascii="Verdana" w:hAnsi="Verdana" w:cs="新細明體"/>
          <w:color w:val="666666"/>
          <w:kern w:val="0"/>
          <w:sz w:val="20"/>
          <w:szCs w:val="20"/>
        </w:rPr>
        <w:t>年與中文大學合作有關長期病患者的身心健康狀況調查，被訪者中有</w:t>
      </w:r>
      <w:r w:rsidRPr="00050C91">
        <w:rPr>
          <w:rFonts w:ascii="inherit" w:hAnsi="inherit" w:cs="新細明體"/>
          <w:color w:val="666666"/>
          <w:kern w:val="0"/>
          <w:sz w:val="20"/>
          <w:szCs w:val="20"/>
          <w:bdr w:val="none" w:sz="0" w:space="0" w:color="auto" w:frame="1"/>
        </w:rPr>
        <w:t>36%</w:t>
      </w:r>
      <w:r w:rsidRPr="00050C91">
        <w:rPr>
          <w:rFonts w:ascii="Verdana" w:hAnsi="Verdana" w:cs="新細明體"/>
          <w:color w:val="666666"/>
          <w:kern w:val="0"/>
          <w:sz w:val="20"/>
          <w:szCs w:val="20"/>
        </w:rPr>
        <w:t>患有輕微焦慮癥狀，</w:t>
      </w:r>
      <w:r w:rsidRPr="00050C91">
        <w:rPr>
          <w:rFonts w:ascii="inherit" w:hAnsi="inherit" w:cs="新細明體"/>
          <w:color w:val="666666"/>
          <w:kern w:val="0"/>
          <w:sz w:val="20"/>
          <w:szCs w:val="20"/>
          <w:bdr w:val="none" w:sz="0" w:space="0" w:color="auto" w:frame="1"/>
        </w:rPr>
        <w:t>33%</w:t>
      </w:r>
      <w:r w:rsidRPr="00050C91">
        <w:rPr>
          <w:rFonts w:ascii="Verdana" w:hAnsi="Verdana" w:cs="新細明體"/>
          <w:color w:val="666666"/>
          <w:kern w:val="0"/>
          <w:sz w:val="20"/>
          <w:szCs w:val="20"/>
        </w:rPr>
        <w:t>有中等及</w:t>
      </w:r>
      <w:r w:rsidRPr="00050C91">
        <w:rPr>
          <w:rFonts w:ascii="inherit" w:hAnsi="inherit" w:cs="新細明體"/>
          <w:color w:val="666666"/>
          <w:kern w:val="0"/>
          <w:sz w:val="20"/>
          <w:szCs w:val="20"/>
          <w:bdr w:val="none" w:sz="0" w:space="0" w:color="auto" w:frame="1"/>
        </w:rPr>
        <w:t>9%</w:t>
      </w:r>
      <w:r w:rsidRPr="00050C91">
        <w:rPr>
          <w:rFonts w:ascii="Verdana" w:hAnsi="Verdana" w:cs="新細明體"/>
          <w:color w:val="666666"/>
          <w:kern w:val="0"/>
          <w:sz w:val="20"/>
          <w:szCs w:val="20"/>
        </w:rPr>
        <w:t>患有嚴重焦慮癥狀；抑鬱</w:t>
      </w:r>
      <w:proofErr w:type="gramStart"/>
      <w:r w:rsidRPr="00050C91">
        <w:rPr>
          <w:rFonts w:ascii="Verdana" w:hAnsi="Verdana" w:cs="新細明體"/>
          <w:color w:val="666666"/>
          <w:kern w:val="0"/>
          <w:sz w:val="20"/>
          <w:szCs w:val="20"/>
        </w:rPr>
        <w:t>癥</w:t>
      </w:r>
      <w:proofErr w:type="gramEnd"/>
      <w:r w:rsidRPr="00050C91">
        <w:rPr>
          <w:rFonts w:ascii="Verdana" w:hAnsi="Verdana" w:cs="新細明體"/>
          <w:color w:val="666666"/>
          <w:kern w:val="0"/>
          <w:sz w:val="20"/>
          <w:szCs w:val="20"/>
        </w:rPr>
        <w:t>狀方面，輕微者有</w:t>
      </w:r>
      <w:r w:rsidRPr="00050C91">
        <w:rPr>
          <w:rFonts w:ascii="inherit" w:hAnsi="inherit" w:cs="新細明體"/>
          <w:color w:val="666666"/>
          <w:kern w:val="0"/>
          <w:sz w:val="20"/>
          <w:szCs w:val="20"/>
          <w:bdr w:val="none" w:sz="0" w:space="0" w:color="auto" w:frame="1"/>
        </w:rPr>
        <w:t>39%</w:t>
      </w:r>
      <w:r w:rsidRPr="00050C91">
        <w:rPr>
          <w:rFonts w:ascii="Verdana" w:hAnsi="Verdana" w:cs="新細明體"/>
          <w:color w:val="666666"/>
          <w:kern w:val="0"/>
          <w:sz w:val="20"/>
          <w:szCs w:val="20"/>
        </w:rPr>
        <w:t>，中等及嚴重者分別有</w:t>
      </w:r>
      <w:r w:rsidRPr="00050C91">
        <w:rPr>
          <w:rFonts w:ascii="inherit" w:hAnsi="inherit" w:cs="新細明體"/>
          <w:color w:val="666666"/>
          <w:kern w:val="0"/>
          <w:sz w:val="20"/>
          <w:szCs w:val="20"/>
          <w:bdr w:val="none" w:sz="0" w:space="0" w:color="auto" w:frame="1"/>
        </w:rPr>
        <w:t>28%</w:t>
      </w:r>
      <w:r w:rsidRPr="00050C91">
        <w:rPr>
          <w:rFonts w:ascii="inherit" w:hAnsi="inherit" w:cs="新細明體"/>
          <w:color w:val="666666"/>
          <w:kern w:val="0"/>
          <w:sz w:val="20"/>
        </w:rPr>
        <w:t> </w:t>
      </w:r>
      <w:r w:rsidRPr="00050C91">
        <w:rPr>
          <w:rFonts w:ascii="Verdana" w:hAnsi="Verdana" w:cs="新細明體"/>
          <w:color w:val="666666"/>
          <w:kern w:val="0"/>
          <w:sz w:val="20"/>
          <w:szCs w:val="20"/>
        </w:rPr>
        <w:t>及</w:t>
      </w:r>
      <w:r w:rsidRPr="00050C91">
        <w:rPr>
          <w:rFonts w:ascii="inherit" w:hAnsi="inherit" w:cs="新細明體"/>
          <w:color w:val="666666"/>
          <w:kern w:val="0"/>
          <w:sz w:val="20"/>
          <w:szCs w:val="20"/>
          <w:bdr w:val="none" w:sz="0" w:space="0" w:color="auto" w:frame="1"/>
        </w:rPr>
        <w:t>9%</w:t>
      </w:r>
      <w:r w:rsidRPr="00050C91">
        <w:rPr>
          <w:rFonts w:ascii="Verdana" w:hAnsi="Verdana" w:cs="新細明體"/>
          <w:color w:val="666666"/>
          <w:kern w:val="0"/>
          <w:sz w:val="20"/>
          <w:szCs w:val="20"/>
        </w:rPr>
        <w:t>；聯合國審議結論中亦關注殘疾者之自殺率</w:t>
      </w:r>
      <w:proofErr w:type="gramStart"/>
      <w:r w:rsidRPr="00050C91">
        <w:rPr>
          <w:rFonts w:ascii="Verdana" w:hAnsi="Verdana" w:cs="新細明體"/>
          <w:color w:val="666666"/>
          <w:kern w:val="0"/>
          <w:sz w:val="20"/>
          <w:szCs w:val="20"/>
        </w:rPr>
        <w:t>佔</w:t>
      </w:r>
      <w:proofErr w:type="gramEnd"/>
      <w:r w:rsidRPr="00050C91">
        <w:rPr>
          <w:rFonts w:ascii="Verdana" w:hAnsi="Verdana" w:cs="新細明體"/>
          <w:color w:val="666666"/>
          <w:kern w:val="0"/>
          <w:sz w:val="20"/>
          <w:szCs w:val="20"/>
        </w:rPr>
        <w:t>全港自殺率之三份之</w:t>
      </w:r>
      <w:proofErr w:type="gramStart"/>
      <w:r w:rsidRPr="00050C91">
        <w:rPr>
          <w:rFonts w:ascii="Verdana" w:hAnsi="Verdana" w:cs="新細明體"/>
          <w:color w:val="666666"/>
          <w:kern w:val="0"/>
          <w:sz w:val="20"/>
          <w:szCs w:val="20"/>
        </w:rPr>
        <w:t>一</w:t>
      </w:r>
      <w:proofErr w:type="gramEnd"/>
      <w:r w:rsidRPr="00050C91">
        <w:rPr>
          <w:rFonts w:ascii="Verdana" w:hAnsi="Verdana" w:cs="新細明體"/>
          <w:color w:val="666666"/>
          <w:kern w:val="0"/>
          <w:sz w:val="20"/>
          <w:szCs w:val="20"/>
        </w:rPr>
        <w:t>。殘疾者實處於水深火熱當中，政府實應亡羊補牢、審時度勢，以決心和行動改革</w:t>
      </w:r>
      <w:r w:rsidRPr="00050C91">
        <w:rPr>
          <w:rFonts w:ascii="inherit" w:hAnsi="inherit" w:cs="新細明體"/>
          <w:color w:val="666666"/>
          <w:kern w:val="0"/>
          <w:sz w:val="20"/>
          <w:szCs w:val="20"/>
          <w:bdr w:val="none" w:sz="0" w:space="0" w:color="auto" w:frame="1"/>
        </w:rPr>
        <w:t>40</w:t>
      </w:r>
      <w:r w:rsidRPr="00050C91">
        <w:rPr>
          <w:rFonts w:ascii="inherit" w:hAnsi="inherit" w:cs="新細明體"/>
          <w:color w:val="666666"/>
          <w:kern w:val="0"/>
          <w:sz w:val="20"/>
        </w:rPr>
        <w:t> </w:t>
      </w:r>
      <w:r w:rsidRPr="00050C91">
        <w:rPr>
          <w:rFonts w:ascii="Verdana" w:hAnsi="Verdana" w:cs="新細明體"/>
          <w:color w:val="666666"/>
          <w:kern w:val="0"/>
          <w:sz w:val="20"/>
          <w:szCs w:val="20"/>
        </w:rPr>
        <w:t>多年千蒼百孔的傷殘定義及評估準則。</w:t>
      </w:r>
    </w:p>
    <w:p w:rsidR="00050C91" w:rsidRPr="00050C91" w:rsidRDefault="00050C91" w:rsidP="00050C91">
      <w:pPr>
        <w:widowControl/>
        <w:shd w:val="clear" w:color="auto" w:fill="FFFFFF"/>
        <w:spacing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引用一位台灣專家在推行</w:t>
      </w:r>
      <w:r w:rsidRPr="00050C91">
        <w:rPr>
          <w:rFonts w:ascii="inherit" w:hAnsi="inherit" w:cs="新細明體"/>
          <w:color w:val="666666"/>
          <w:kern w:val="0"/>
          <w:sz w:val="20"/>
          <w:szCs w:val="20"/>
          <w:bdr w:val="none" w:sz="0" w:space="0" w:color="auto" w:frame="1"/>
        </w:rPr>
        <w:t>ICF</w:t>
      </w:r>
      <w:r w:rsidRPr="00050C91">
        <w:rPr>
          <w:rFonts w:ascii="inherit" w:hAnsi="inherit" w:cs="新細明體"/>
          <w:color w:val="666666"/>
          <w:kern w:val="0"/>
          <w:sz w:val="20"/>
        </w:rPr>
        <w:t> </w:t>
      </w:r>
      <w:r w:rsidRPr="00050C91">
        <w:rPr>
          <w:rFonts w:ascii="Verdana" w:hAnsi="Verdana" w:cs="新細明體"/>
          <w:color w:val="666666"/>
          <w:kern w:val="0"/>
          <w:sz w:val="20"/>
          <w:szCs w:val="20"/>
        </w:rPr>
        <w:t>的心得</w:t>
      </w:r>
      <w:r w:rsidRPr="00050C91">
        <w:rPr>
          <w:rFonts w:ascii="inherit" w:hAnsi="inherit" w:cs="新細明體"/>
          <w:color w:val="666666"/>
          <w:kern w:val="0"/>
          <w:sz w:val="20"/>
          <w:szCs w:val="20"/>
          <w:bdr w:val="none" w:sz="0" w:space="0" w:color="auto" w:frame="1"/>
        </w:rPr>
        <w:t>:</w:t>
      </w:r>
      <w:r w:rsidRPr="00050C91">
        <w:rPr>
          <w:rFonts w:ascii="inherit" w:hAnsi="inherit" w:cs="新細明體"/>
          <w:color w:val="666666"/>
          <w:kern w:val="0"/>
          <w:sz w:val="20"/>
        </w:rPr>
        <w:t> </w:t>
      </w:r>
      <w:r w:rsidRPr="00050C91">
        <w:rPr>
          <w:rFonts w:ascii="Verdana" w:hAnsi="Verdana" w:cs="新細明體"/>
          <w:color w:val="666666"/>
          <w:kern w:val="0"/>
          <w:sz w:val="20"/>
          <w:szCs w:val="20"/>
        </w:rPr>
        <w:t>「</w:t>
      </w:r>
      <w:r w:rsidRPr="00050C91">
        <w:rPr>
          <w:rFonts w:ascii="inherit" w:hAnsi="inherit" w:cs="新細明體"/>
          <w:color w:val="666666"/>
          <w:kern w:val="0"/>
          <w:sz w:val="20"/>
          <w:szCs w:val="20"/>
          <w:bdr w:val="none" w:sz="0" w:space="0" w:color="auto" w:frame="1"/>
        </w:rPr>
        <w:t>ICF</w:t>
      </w:r>
      <w:r w:rsidRPr="00050C91">
        <w:rPr>
          <w:rFonts w:ascii="inherit" w:hAnsi="inherit" w:cs="新細明體"/>
          <w:color w:val="666666"/>
          <w:kern w:val="0"/>
          <w:sz w:val="20"/>
        </w:rPr>
        <w:t> </w:t>
      </w:r>
      <w:r w:rsidRPr="00050C91">
        <w:rPr>
          <w:rFonts w:ascii="Verdana" w:hAnsi="Verdana" w:cs="新細明體"/>
          <w:color w:val="666666"/>
          <w:kern w:val="0"/>
          <w:sz w:val="20"/>
          <w:szCs w:val="20"/>
        </w:rPr>
        <w:t>經歷將近</w:t>
      </w:r>
      <w:r w:rsidRPr="00050C91">
        <w:rPr>
          <w:rFonts w:ascii="inherit" w:hAnsi="inherit" w:cs="新細明體"/>
          <w:color w:val="666666"/>
          <w:kern w:val="0"/>
          <w:sz w:val="20"/>
          <w:szCs w:val="20"/>
          <w:bdr w:val="none" w:sz="0" w:space="0" w:color="auto" w:frame="1"/>
        </w:rPr>
        <w:t>25</w:t>
      </w:r>
      <w:r w:rsidRPr="00050C91">
        <w:rPr>
          <w:rFonts w:ascii="inherit" w:hAnsi="inherit" w:cs="新細明體"/>
          <w:color w:val="666666"/>
          <w:kern w:val="0"/>
          <w:sz w:val="20"/>
        </w:rPr>
        <w:t> </w:t>
      </w:r>
      <w:r w:rsidRPr="00050C91">
        <w:rPr>
          <w:rFonts w:ascii="Verdana" w:hAnsi="Verdana" w:cs="新細明體"/>
          <w:color w:val="666666"/>
          <w:kern w:val="0"/>
          <w:sz w:val="20"/>
          <w:szCs w:val="20"/>
        </w:rPr>
        <w:t>年的修訂與試用和各種辯論，這些參與製作的各行各業專業人員與學者，應該不會無知到我們所質疑的細節都會不處理的境界。</w:t>
      </w:r>
      <w:r w:rsidRPr="00050C91">
        <w:rPr>
          <w:rFonts w:ascii="Verdana" w:hAnsi="Verdana" w:cs="新細明體"/>
          <w:color w:val="666666"/>
          <w:kern w:val="0"/>
          <w:sz w:val="20"/>
          <w:szCs w:val="20"/>
        </w:rPr>
        <w:t>………</w:t>
      </w:r>
      <w:r w:rsidRPr="00050C91">
        <w:rPr>
          <w:rFonts w:ascii="Verdana" w:hAnsi="Verdana" w:cs="新細明體"/>
          <w:color w:val="666666"/>
          <w:kern w:val="0"/>
          <w:sz w:val="20"/>
          <w:szCs w:val="20"/>
        </w:rPr>
        <w:t>任何一個新的制度的推動都會有陣痛期，但是當制度化之後，十年或二十年之後，我們再回頭看這段歷程，應該會有不同的體會與感受。」</w:t>
      </w:r>
    </w:p>
    <w:p w:rsidR="00050C91" w:rsidRPr="00050C91" w:rsidRDefault="00050C91" w:rsidP="00050C91">
      <w:pPr>
        <w:widowControl/>
        <w:shd w:val="clear" w:color="auto" w:fill="FFFFFF"/>
        <w:spacing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事實上，今天的香港，對</w:t>
      </w:r>
      <w:r w:rsidRPr="00050C91">
        <w:rPr>
          <w:rFonts w:ascii="inherit" w:hAnsi="inherit" w:cs="新細明體"/>
          <w:color w:val="666666"/>
          <w:kern w:val="0"/>
          <w:sz w:val="20"/>
          <w:szCs w:val="20"/>
          <w:bdr w:val="none" w:sz="0" w:space="0" w:color="auto" w:frame="1"/>
        </w:rPr>
        <w:t>ICF</w:t>
      </w:r>
      <w:r w:rsidRPr="00050C91">
        <w:rPr>
          <w:rFonts w:ascii="inherit" w:hAnsi="inherit" w:cs="新細明體"/>
          <w:color w:val="666666"/>
          <w:kern w:val="0"/>
          <w:sz w:val="20"/>
        </w:rPr>
        <w:t> </w:t>
      </w:r>
      <w:r w:rsidRPr="00050C91">
        <w:rPr>
          <w:rFonts w:ascii="Verdana" w:hAnsi="Verdana" w:cs="新細明體"/>
          <w:color w:val="666666"/>
          <w:kern w:val="0"/>
          <w:sz w:val="20"/>
          <w:szCs w:val="20"/>
        </w:rPr>
        <w:t>不是由零開始。在二零零七年七月九日立法會福利事務委員會</w:t>
      </w:r>
      <w:proofErr w:type="gramStart"/>
      <w:r w:rsidRPr="00050C91">
        <w:rPr>
          <w:rFonts w:ascii="inherit" w:hAnsi="inherit" w:cs="新細明體"/>
          <w:color w:val="666666"/>
          <w:kern w:val="0"/>
          <w:sz w:val="20"/>
          <w:szCs w:val="20"/>
          <w:bdr w:val="none" w:sz="0" w:space="0" w:color="auto" w:frame="1"/>
        </w:rPr>
        <w:t>–</w:t>
      </w:r>
      <w:proofErr w:type="gramEnd"/>
      <w:r w:rsidRPr="00050C91">
        <w:rPr>
          <w:rFonts w:ascii="inherit" w:hAnsi="inherit" w:cs="新細明體"/>
          <w:color w:val="666666"/>
          <w:kern w:val="0"/>
          <w:sz w:val="20"/>
        </w:rPr>
        <w:t> </w:t>
      </w:r>
      <w:r w:rsidRPr="00050C91">
        <w:rPr>
          <w:rFonts w:ascii="Verdana" w:hAnsi="Verdana" w:cs="新細明體"/>
          <w:color w:val="666666"/>
          <w:kern w:val="0"/>
          <w:sz w:val="20"/>
          <w:szCs w:val="20"/>
        </w:rPr>
        <w:t>衞生福利及食物局提交之二零零七年康復計劃方案</w:t>
      </w:r>
      <w:r w:rsidRPr="00050C91">
        <w:rPr>
          <w:rFonts w:ascii="inherit" w:hAnsi="inherit" w:cs="新細明體"/>
          <w:color w:val="666666"/>
          <w:kern w:val="0"/>
          <w:sz w:val="20"/>
        </w:rPr>
        <w:t> </w:t>
      </w:r>
      <w:r w:rsidRPr="00050C91">
        <w:rPr>
          <w:rFonts w:ascii="inherit" w:hAnsi="inherit" w:cs="新細明體"/>
          <w:color w:val="666666"/>
          <w:kern w:val="0"/>
          <w:sz w:val="20"/>
          <w:szCs w:val="20"/>
          <w:bdr w:val="none" w:sz="0" w:space="0" w:color="auto" w:frame="1"/>
        </w:rPr>
        <w:t>[</w:t>
      </w:r>
      <w:r w:rsidRPr="00050C91">
        <w:rPr>
          <w:rFonts w:ascii="Verdana" w:hAnsi="Verdana" w:cs="新細明體"/>
          <w:color w:val="666666"/>
          <w:kern w:val="0"/>
          <w:sz w:val="20"/>
          <w:szCs w:val="20"/>
        </w:rPr>
        <w:t>立法會</w:t>
      </w:r>
      <w:r w:rsidRPr="00050C91">
        <w:rPr>
          <w:rFonts w:ascii="inherit" w:hAnsi="inherit" w:cs="新細明體"/>
          <w:color w:val="666666"/>
          <w:kern w:val="0"/>
          <w:sz w:val="20"/>
          <w:szCs w:val="20"/>
          <w:bdr w:val="none" w:sz="0" w:space="0" w:color="auto" w:frame="1"/>
        </w:rPr>
        <w:t>CB(2)2348/06-07(01)</w:t>
      </w:r>
      <w:r w:rsidRPr="00050C91">
        <w:rPr>
          <w:rFonts w:ascii="Verdana" w:hAnsi="Verdana" w:cs="新細明體"/>
          <w:color w:val="666666"/>
          <w:kern w:val="0"/>
          <w:sz w:val="20"/>
          <w:szCs w:val="20"/>
        </w:rPr>
        <w:t>號文件</w:t>
      </w:r>
      <w:r w:rsidRPr="00050C91">
        <w:rPr>
          <w:rFonts w:ascii="inherit" w:hAnsi="inherit" w:cs="新細明體"/>
          <w:color w:val="666666"/>
          <w:kern w:val="0"/>
          <w:sz w:val="20"/>
          <w:szCs w:val="20"/>
          <w:bdr w:val="none" w:sz="0" w:space="0" w:color="auto" w:frame="1"/>
        </w:rPr>
        <w:t>]</w:t>
      </w:r>
      <w:r w:rsidRPr="00050C91">
        <w:rPr>
          <w:rFonts w:ascii="Verdana" w:hAnsi="Verdana" w:cs="新細明體"/>
          <w:color w:val="666666"/>
          <w:kern w:val="0"/>
          <w:sz w:val="20"/>
          <w:szCs w:val="20"/>
        </w:rPr>
        <w:t>中，</w:t>
      </w:r>
      <w:r w:rsidRPr="00050C91">
        <w:rPr>
          <w:rFonts w:ascii="inherit" w:hAnsi="inherit" w:cs="新細明體"/>
          <w:color w:val="666666"/>
          <w:kern w:val="0"/>
          <w:sz w:val="20"/>
          <w:szCs w:val="20"/>
          <w:bdr w:val="none" w:sz="0" w:space="0" w:color="auto" w:frame="1"/>
        </w:rPr>
        <w:t>2005-2007</w:t>
      </w:r>
      <w:r w:rsidRPr="00050C91">
        <w:rPr>
          <w:rFonts w:ascii="Verdana" w:hAnsi="Verdana" w:cs="新細明體"/>
          <w:color w:val="666666"/>
          <w:kern w:val="0"/>
          <w:sz w:val="20"/>
          <w:szCs w:val="20"/>
        </w:rPr>
        <w:t>香港康復計劃方案檢討工作小組早已提出有關《國際功能、殘疾和健康分類》的探討，建議政府參考其他國家在推行該分類時得到的經驗，</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探討在香港推行該分類的可行性。</w:t>
      </w:r>
    </w:p>
    <w:p w:rsidR="00050C91" w:rsidRPr="00050C91" w:rsidRDefault="00050C91" w:rsidP="00050C91">
      <w:pPr>
        <w:widowControl/>
        <w:shd w:val="clear" w:color="auto" w:fill="FFFFFF"/>
        <w:spacing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w:t>
      </w:r>
      <w:r w:rsidRPr="00050C91">
        <w:rPr>
          <w:rFonts w:ascii="inherit" w:hAnsi="inherit" w:cs="新細明體"/>
          <w:color w:val="666666"/>
          <w:kern w:val="0"/>
          <w:sz w:val="20"/>
          <w:szCs w:val="20"/>
          <w:bdr w:val="none" w:sz="0" w:space="0" w:color="auto" w:frame="1"/>
        </w:rPr>
        <w:t>12.</w:t>
      </w:r>
      <w:r w:rsidRPr="00050C91">
        <w:rPr>
          <w:rFonts w:ascii="inherit" w:hAnsi="inherit" w:cs="新細明體"/>
          <w:color w:val="666666"/>
          <w:kern w:val="0"/>
          <w:sz w:val="20"/>
        </w:rPr>
        <w:t> </w:t>
      </w:r>
      <w:r w:rsidRPr="00050C91">
        <w:rPr>
          <w:rFonts w:ascii="Verdana" w:hAnsi="Verdana" w:cs="新細明體"/>
          <w:color w:val="666666"/>
          <w:kern w:val="0"/>
          <w:sz w:val="20"/>
          <w:szCs w:val="20"/>
        </w:rPr>
        <w:t>工作小組在檢討過程中曾討論多項其他重要課題，包括在本港推行《國際功能、殘疾和健康分類》、精神健康、手語標準化和聯合國大多數締約國最近簽署的《殘疾人士權利公約》。工作小組認為應進一步探討這四</w:t>
      </w:r>
      <w:proofErr w:type="gramStart"/>
      <w:r w:rsidRPr="00050C91">
        <w:rPr>
          <w:rFonts w:ascii="Verdana" w:hAnsi="Verdana" w:cs="新細明體"/>
          <w:color w:val="666666"/>
          <w:kern w:val="0"/>
          <w:sz w:val="20"/>
          <w:szCs w:val="20"/>
        </w:rPr>
        <w:t>個</w:t>
      </w:r>
      <w:proofErr w:type="gramEnd"/>
      <w:r w:rsidRPr="00050C91">
        <w:rPr>
          <w:rFonts w:ascii="Verdana" w:hAnsi="Verdana" w:cs="新細明體"/>
          <w:color w:val="666666"/>
          <w:kern w:val="0"/>
          <w:sz w:val="20"/>
          <w:szCs w:val="20"/>
        </w:rPr>
        <w:t>課題，</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並應列為值得關注的事項，在方案檢討以外的範疇進一步跟進研究。」</w:t>
      </w:r>
    </w:p>
    <w:p w:rsidR="00050C91" w:rsidRPr="00050C91" w:rsidRDefault="00050C91" w:rsidP="00050C91">
      <w:pPr>
        <w:widowControl/>
        <w:shd w:val="clear" w:color="auto" w:fill="FFFFFF"/>
        <w:spacing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「第十五章</w:t>
      </w:r>
      <w:proofErr w:type="gramStart"/>
      <w:r w:rsidRPr="00050C91">
        <w:rPr>
          <w:rFonts w:ascii="Verdana" w:hAnsi="Verdana" w:cs="新細明體"/>
          <w:color w:val="666666"/>
          <w:kern w:val="0"/>
          <w:sz w:val="20"/>
          <w:szCs w:val="20"/>
        </w:rPr>
        <w:t>—</w:t>
      </w:r>
      <w:proofErr w:type="gramEnd"/>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其他關注事項</w:t>
      </w:r>
      <w:r w:rsidRPr="00050C91">
        <w:rPr>
          <w:rFonts w:ascii="inherit" w:hAnsi="inherit" w:cs="新細明體"/>
          <w:color w:val="666666"/>
          <w:kern w:val="0"/>
          <w:sz w:val="20"/>
          <w:szCs w:val="20"/>
          <w:bdr w:val="none" w:sz="0" w:space="0" w:color="auto" w:frame="1"/>
        </w:rPr>
        <w:t>:</w:t>
      </w:r>
      <w:r w:rsidRPr="00050C91">
        <w:rPr>
          <w:rFonts w:ascii="inherit" w:hAnsi="inherit" w:cs="新細明體"/>
          <w:color w:val="666666"/>
          <w:kern w:val="0"/>
          <w:sz w:val="20"/>
        </w:rPr>
        <w:t> </w:t>
      </w:r>
      <w:r w:rsidRPr="00050C91">
        <w:rPr>
          <w:rFonts w:ascii="Verdana" w:hAnsi="Verdana" w:cs="新細明體"/>
          <w:color w:val="666666"/>
          <w:kern w:val="0"/>
          <w:sz w:val="20"/>
          <w:szCs w:val="20"/>
        </w:rPr>
        <w:t>《國際功能、殘疾和健康分類》</w:t>
      </w:r>
    </w:p>
    <w:p w:rsidR="00050C91" w:rsidRPr="00050C91" w:rsidRDefault="00050C91" w:rsidP="00050C91">
      <w:pPr>
        <w:widowControl/>
        <w:shd w:val="clear" w:color="auto" w:fill="FFFFFF"/>
        <w:spacing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 xml:space="preserve">15.2 </w:t>
      </w:r>
      <w:r w:rsidRPr="00050C91">
        <w:rPr>
          <w:rFonts w:ascii="Verdana" w:hAnsi="Verdana" w:cs="新細明體"/>
          <w:color w:val="666666"/>
          <w:kern w:val="0"/>
          <w:sz w:val="20"/>
          <w:szCs w:val="20"/>
        </w:rPr>
        <w:t>世界衞生組織於</w:t>
      </w:r>
      <w:r w:rsidRPr="00050C91">
        <w:rPr>
          <w:rFonts w:ascii="inherit" w:hAnsi="inherit" w:cs="新細明體"/>
          <w:color w:val="666666"/>
          <w:kern w:val="0"/>
          <w:sz w:val="20"/>
          <w:szCs w:val="20"/>
          <w:bdr w:val="none" w:sz="0" w:space="0" w:color="auto" w:frame="1"/>
        </w:rPr>
        <w:t>2 0 0 1</w:t>
      </w:r>
      <w:r w:rsidRPr="00050C91">
        <w:rPr>
          <w:rFonts w:ascii="inherit" w:hAnsi="inherit" w:cs="新細明體"/>
          <w:color w:val="666666"/>
          <w:kern w:val="0"/>
          <w:sz w:val="20"/>
        </w:rPr>
        <w:t> </w:t>
      </w:r>
      <w:r w:rsidRPr="00050C91">
        <w:rPr>
          <w:rFonts w:ascii="Verdana" w:hAnsi="Verdana" w:cs="新細明體"/>
          <w:color w:val="666666"/>
          <w:kern w:val="0"/>
          <w:sz w:val="20"/>
          <w:szCs w:val="20"/>
        </w:rPr>
        <w:t>年</w:t>
      </w:r>
      <w:r w:rsidRPr="00050C91">
        <w:rPr>
          <w:rFonts w:ascii="inherit" w:hAnsi="inherit" w:cs="新細明體"/>
          <w:color w:val="666666"/>
          <w:kern w:val="0"/>
          <w:sz w:val="20"/>
          <w:szCs w:val="20"/>
          <w:bdr w:val="none" w:sz="0" w:space="0" w:color="auto" w:frame="1"/>
        </w:rPr>
        <w:t>1 1</w:t>
      </w:r>
      <w:r w:rsidRPr="00050C91">
        <w:rPr>
          <w:rFonts w:ascii="inherit" w:hAnsi="inherit" w:cs="新細明體"/>
          <w:color w:val="666666"/>
          <w:kern w:val="0"/>
          <w:sz w:val="20"/>
        </w:rPr>
        <w:t> </w:t>
      </w:r>
      <w:r w:rsidRPr="00050C91">
        <w:rPr>
          <w:rFonts w:ascii="Verdana" w:hAnsi="Verdana" w:cs="新細明體"/>
          <w:color w:val="666666"/>
          <w:kern w:val="0"/>
          <w:sz w:val="20"/>
          <w:szCs w:val="20"/>
        </w:rPr>
        <w:t>月出版了《國際功能、殘疾和健康分類》作為形容和量度健康和殘疾的國際標準，</w:t>
      </w:r>
      <w:r w:rsidRPr="00050C91">
        <w:rPr>
          <w:rFonts w:ascii="Verdana" w:hAnsi="Verdana" w:cs="新細明體"/>
          <w:color w:val="666666"/>
          <w:kern w:val="0"/>
          <w:sz w:val="20"/>
          <w:szCs w:val="20"/>
        </w:rPr>
        <w:t xml:space="preserve"> </w:t>
      </w:r>
      <w:r w:rsidRPr="00050C91">
        <w:rPr>
          <w:rFonts w:ascii="Verdana" w:hAnsi="Verdana" w:cs="新細明體"/>
          <w:color w:val="666666"/>
          <w:kern w:val="0"/>
          <w:sz w:val="20"/>
          <w:szCs w:val="20"/>
        </w:rPr>
        <w:t>並呼籲各國廣泛應用。該分類的特色，是在醫學性詮釋的生理、心理或</w:t>
      </w:r>
      <w:r w:rsidRPr="00050C91">
        <w:rPr>
          <w:rFonts w:ascii="Verdana" w:hAnsi="Verdana" w:cs="新細明體"/>
          <w:color w:val="666666"/>
          <w:kern w:val="0"/>
          <w:sz w:val="20"/>
          <w:szCs w:val="20"/>
        </w:rPr>
        <w:lastRenderedPageBreak/>
        <w:t>是情緒上的殘障之外，加入社會環境造成的障礙。根據該分類的演繹，殘障是由於身體上和實體環境或態度上的障礙造成無法與正常人有相同均等的機會融入社羣的狀況。</w:t>
      </w:r>
    </w:p>
    <w:p w:rsidR="00050C91" w:rsidRPr="00050C91" w:rsidRDefault="00050C91" w:rsidP="00050C91">
      <w:pPr>
        <w:widowControl/>
        <w:shd w:val="clear" w:color="auto" w:fill="FFFFFF"/>
        <w:spacing w:before="204" w:after="204"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 xml:space="preserve">15.3 </w:t>
      </w:r>
      <w:r w:rsidRPr="00050C91">
        <w:rPr>
          <w:rFonts w:ascii="Verdana" w:hAnsi="Verdana" w:cs="新細明體"/>
          <w:color w:val="666666"/>
          <w:kern w:val="0"/>
          <w:sz w:val="20"/>
          <w:szCs w:val="20"/>
        </w:rPr>
        <w:t>工作小組同意這可能是國際上對障礙的理解的大趨勢，一旦採用這種分類法可能會對現有機制有重大的影響，因此，建議政府參考其他國家在推行該分類時得到的經驗，探討在香港推行該分類的可行性。」</w:t>
      </w:r>
    </w:p>
    <w:p w:rsidR="00050C91" w:rsidRPr="00050C91" w:rsidRDefault="00050C91" w:rsidP="00050C91">
      <w:pPr>
        <w:widowControl/>
        <w:shd w:val="clear" w:color="auto" w:fill="FFFFFF"/>
        <w:spacing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故此，現時跟進</w:t>
      </w:r>
      <w:r w:rsidRPr="00050C91">
        <w:rPr>
          <w:rFonts w:ascii="inherit" w:hAnsi="inherit" w:cs="新細明體"/>
          <w:color w:val="666666"/>
          <w:kern w:val="0"/>
          <w:sz w:val="20"/>
          <w:szCs w:val="20"/>
          <w:bdr w:val="none" w:sz="0" w:space="0" w:color="auto" w:frame="1"/>
        </w:rPr>
        <w:t>2007</w:t>
      </w:r>
      <w:r w:rsidRPr="00050C91">
        <w:rPr>
          <w:rFonts w:ascii="Verdana" w:hAnsi="Verdana" w:cs="新細明體"/>
          <w:color w:val="666666"/>
          <w:kern w:val="0"/>
          <w:sz w:val="20"/>
          <w:szCs w:val="20"/>
        </w:rPr>
        <w:t>年的建議是刻不容緩。</w:t>
      </w:r>
    </w:p>
    <w:p w:rsidR="00050C91" w:rsidRPr="00050C91" w:rsidRDefault="00050C91" w:rsidP="00050C91">
      <w:pPr>
        <w:widowControl/>
        <w:shd w:val="clear" w:color="auto" w:fill="FFFFFF"/>
        <w:spacing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縱觀其他部門，政府統計處於在本年籌備的綜合住戶統計調查搜集所得的社會資料</w:t>
      </w:r>
      <w:r w:rsidRPr="00050C91">
        <w:rPr>
          <w:rFonts w:ascii="inherit" w:hAnsi="inherit" w:cs="新細明體"/>
          <w:color w:val="666666"/>
          <w:kern w:val="0"/>
          <w:sz w:val="20"/>
        </w:rPr>
        <w:t> </w:t>
      </w:r>
      <w:r w:rsidRPr="00050C91">
        <w:rPr>
          <w:rFonts w:ascii="inherit" w:hAnsi="inherit" w:cs="新細明體"/>
          <w:color w:val="666666"/>
          <w:kern w:val="0"/>
          <w:sz w:val="20"/>
          <w:szCs w:val="20"/>
          <w:bdr w:val="none" w:sz="0" w:space="0" w:color="auto" w:frame="1"/>
        </w:rPr>
        <w:t>–</w:t>
      </w:r>
      <w:r w:rsidRPr="00050C91">
        <w:rPr>
          <w:rFonts w:ascii="inherit" w:hAnsi="inherit" w:cs="新細明體"/>
          <w:color w:val="666666"/>
          <w:kern w:val="0"/>
          <w:sz w:val="20"/>
        </w:rPr>
        <w:t> </w:t>
      </w:r>
      <w:r w:rsidRPr="00050C91">
        <w:rPr>
          <w:rFonts w:ascii="Verdana" w:hAnsi="Verdana" w:cs="新細明體"/>
          <w:color w:val="666666"/>
          <w:kern w:val="0"/>
          <w:sz w:val="20"/>
          <w:szCs w:val="20"/>
        </w:rPr>
        <w:t>專題報告書系列</w:t>
      </w:r>
      <w:r w:rsidRPr="00050C91">
        <w:rPr>
          <w:rFonts w:ascii="inherit" w:hAnsi="inherit" w:cs="新細明體"/>
          <w:color w:val="666666"/>
          <w:kern w:val="0"/>
          <w:sz w:val="20"/>
        </w:rPr>
        <w:t> </w:t>
      </w:r>
      <w:r w:rsidRPr="00050C91">
        <w:rPr>
          <w:rFonts w:ascii="inherit" w:hAnsi="inherit" w:cs="新細明體"/>
          <w:color w:val="666666"/>
          <w:kern w:val="0"/>
          <w:sz w:val="20"/>
          <w:szCs w:val="20"/>
          <w:bdr w:val="none" w:sz="0" w:space="0" w:color="auto" w:frame="1"/>
        </w:rPr>
        <w:t>(</w:t>
      </w:r>
      <w:r w:rsidRPr="00050C91">
        <w:rPr>
          <w:rFonts w:ascii="Verdana" w:hAnsi="Verdana" w:cs="新細明體"/>
          <w:color w:val="666666"/>
          <w:kern w:val="0"/>
          <w:sz w:val="20"/>
          <w:szCs w:val="20"/>
        </w:rPr>
        <w:t>殘疾人士及長期病患者的全港性統計調查</w:t>
      </w:r>
      <w:r w:rsidRPr="00050C91">
        <w:rPr>
          <w:rFonts w:ascii="inherit" w:hAnsi="inherit" w:cs="新細明體"/>
          <w:color w:val="666666"/>
          <w:kern w:val="0"/>
          <w:sz w:val="20"/>
          <w:szCs w:val="20"/>
          <w:bdr w:val="none" w:sz="0" w:space="0" w:color="auto" w:frame="1"/>
        </w:rPr>
        <w:t>)</w:t>
      </w:r>
      <w:r w:rsidRPr="00050C91">
        <w:rPr>
          <w:rFonts w:ascii="Verdana" w:hAnsi="Verdana" w:cs="新細明體"/>
          <w:color w:val="666666"/>
          <w:kern w:val="0"/>
          <w:sz w:val="20"/>
          <w:szCs w:val="20"/>
        </w:rPr>
        <w:t>亦已採用了</w:t>
      </w:r>
      <w:r w:rsidRPr="00050C91">
        <w:rPr>
          <w:rFonts w:ascii="inherit" w:hAnsi="inherit" w:cs="新細明體"/>
          <w:color w:val="666666"/>
          <w:kern w:val="0"/>
          <w:sz w:val="20"/>
          <w:szCs w:val="20"/>
          <w:bdr w:val="none" w:sz="0" w:space="0" w:color="auto" w:frame="1"/>
        </w:rPr>
        <w:t>ICF Washington Group</w:t>
      </w:r>
      <w:r w:rsidRPr="00050C91">
        <w:rPr>
          <w:rFonts w:ascii="inherit" w:hAnsi="inherit" w:cs="新細明體"/>
          <w:color w:val="666666"/>
          <w:kern w:val="0"/>
          <w:sz w:val="20"/>
        </w:rPr>
        <w:t> </w:t>
      </w:r>
      <w:r w:rsidRPr="00050C91">
        <w:rPr>
          <w:rFonts w:ascii="Verdana" w:hAnsi="Verdana" w:cs="新細明體"/>
          <w:color w:val="666666"/>
          <w:kern w:val="0"/>
          <w:sz w:val="20"/>
          <w:szCs w:val="20"/>
        </w:rPr>
        <w:t>的篩選問題及相關活動及社會參與的範疇。在醫療、專職醫療及學術機構當中，本港也有代表參與外國有關</w:t>
      </w:r>
      <w:r w:rsidRPr="00050C91">
        <w:rPr>
          <w:rFonts w:ascii="inherit" w:hAnsi="inherit" w:cs="新細明體"/>
          <w:color w:val="666666"/>
          <w:kern w:val="0"/>
          <w:sz w:val="20"/>
          <w:szCs w:val="20"/>
          <w:bdr w:val="none" w:sz="0" w:space="0" w:color="auto" w:frame="1"/>
        </w:rPr>
        <w:t>ICF</w:t>
      </w:r>
      <w:r w:rsidRPr="00050C91">
        <w:rPr>
          <w:rFonts w:ascii="Verdana" w:hAnsi="Verdana" w:cs="新細明體"/>
          <w:color w:val="666666"/>
          <w:kern w:val="0"/>
          <w:sz w:val="20"/>
          <w:szCs w:val="20"/>
        </w:rPr>
        <w:t>的培訓及給予專家意見。</w:t>
      </w:r>
    </w:p>
    <w:p w:rsidR="00050C91" w:rsidRPr="00050C91" w:rsidRDefault="00050C91" w:rsidP="00050C91">
      <w:pPr>
        <w:widowControl/>
        <w:shd w:val="clear" w:color="auto" w:fill="FFFFFF"/>
        <w:spacing w:line="336" w:lineRule="atLeast"/>
        <w:textAlignment w:val="baseline"/>
        <w:rPr>
          <w:rFonts w:ascii="Verdana" w:hAnsi="Verdana" w:cs="新細明體"/>
          <w:color w:val="666666"/>
          <w:kern w:val="0"/>
          <w:sz w:val="20"/>
          <w:szCs w:val="20"/>
        </w:rPr>
      </w:pPr>
      <w:proofErr w:type="gramStart"/>
      <w:r w:rsidRPr="00050C91">
        <w:rPr>
          <w:rFonts w:ascii="Verdana" w:hAnsi="Verdana" w:cs="新細明體"/>
          <w:color w:val="666666"/>
          <w:kern w:val="0"/>
          <w:sz w:val="20"/>
          <w:szCs w:val="20"/>
        </w:rPr>
        <w:t>再者，</w:t>
      </w:r>
      <w:proofErr w:type="gramEnd"/>
      <w:r w:rsidRPr="00050C91">
        <w:rPr>
          <w:rFonts w:ascii="inherit" w:hAnsi="inherit" w:cs="新細明體"/>
          <w:color w:val="666666"/>
          <w:kern w:val="0"/>
          <w:sz w:val="20"/>
          <w:szCs w:val="20"/>
          <w:bdr w:val="none" w:sz="0" w:space="0" w:color="auto" w:frame="1"/>
        </w:rPr>
        <w:t>2012</w:t>
      </w:r>
      <w:r w:rsidRPr="00050C91">
        <w:rPr>
          <w:rFonts w:ascii="Verdana" w:hAnsi="Verdana" w:cs="新細明體"/>
          <w:color w:val="666666"/>
          <w:kern w:val="0"/>
          <w:sz w:val="20"/>
          <w:szCs w:val="20"/>
        </w:rPr>
        <w:t>年</w:t>
      </w:r>
      <w:r w:rsidRPr="00050C91">
        <w:rPr>
          <w:rFonts w:ascii="inherit" w:hAnsi="inherit" w:cs="新細明體"/>
          <w:color w:val="666666"/>
          <w:kern w:val="0"/>
          <w:sz w:val="20"/>
          <w:szCs w:val="20"/>
          <w:bdr w:val="none" w:sz="0" w:space="0" w:color="auto" w:frame="1"/>
        </w:rPr>
        <w:t>9</w:t>
      </w:r>
      <w:r w:rsidRPr="00050C91">
        <w:rPr>
          <w:rFonts w:ascii="Verdana" w:hAnsi="Verdana" w:cs="新細明體"/>
          <w:color w:val="666666"/>
          <w:kern w:val="0"/>
          <w:sz w:val="20"/>
          <w:szCs w:val="20"/>
        </w:rPr>
        <w:t>月聯合國對中國香港在《殘疾人權利公約》提交的首</w:t>
      </w:r>
      <w:proofErr w:type="gramStart"/>
      <w:r w:rsidRPr="00050C91">
        <w:rPr>
          <w:rFonts w:ascii="Verdana" w:hAnsi="Verdana" w:cs="新細明體"/>
          <w:color w:val="666666"/>
          <w:kern w:val="0"/>
          <w:sz w:val="20"/>
          <w:szCs w:val="20"/>
        </w:rPr>
        <w:t>個</w:t>
      </w:r>
      <w:proofErr w:type="gramEnd"/>
      <w:r w:rsidRPr="00050C91">
        <w:rPr>
          <w:rFonts w:ascii="Verdana" w:hAnsi="Verdana" w:cs="新細明體"/>
          <w:color w:val="666666"/>
          <w:kern w:val="0"/>
          <w:sz w:val="20"/>
          <w:szCs w:val="20"/>
        </w:rPr>
        <w:t>報告書的審議結論中也提及香港應採納「人權模式的殘疾人定義」。聯合國在</w:t>
      </w:r>
      <w:r w:rsidRPr="00050C91">
        <w:rPr>
          <w:rFonts w:ascii="inherit" w:hAnsi="inherit" w:cs="新細明體"/>
          <w:color w:val="666666"/>
          <w:kern w:val="0"/>
          <w:sz w:val="20"/>
          <w:szCs w:val="20"/>
          <w:bdr w:val="none" w:sz="0" w:space="0" w:color="auto" w:frame="1"/>
        </w:rPr>
        <w:t>2012</w:t>
      </w:r>
      <w:r w:rsidRPr="00050C91">
        <w:rPr>
          <w:rFonts w:ascii="Verdana" w:hAnsi="Verdana" w:cs="新細明體"/>
          <w:color w:val="666666"/>
          <w:kern w:val="0"/>
          <w:sz w:val="20"/>
          <w:szCs w:val="20"/>
        </w:rPr>
        <w:t>年</w:t>
      </w:r>
      <w:r w:rsidRPr="00050C91">
        <w:rPr>
          <w:rFonts w:ascii="inherit" w:hAnsi="inherit" w:cs="新細明體"/>
          <w:color w:val="666666"/>
          <w:kern w:val="0"/>
          <w:sz w:val="20"/>
          <w:szCs w:val="20"/>
          <w:bdr w:val="none" w:sz="0" w:space="0" w:color="auto" w:frame="1"/>
        </w:rPr>
        <w:t>11</w:t>
      </w:r>
      <w:r w:rsidRPr="00050C91">
        <w:rPr>
          <w:rFonts w:ascii="Verdana" w:hAnsi="Verdana" w:cs="新細明體"/>
          <w:color w:val="666666"/>
          <w:kern w:val="0"/>
          <w:sz w:val="20"/>
          <w:szCs w:val="20"/>
        </w:rPr>
        <w:t>月發表的促進亞太殘疾人切實享有權利的仁川策略</w:t>
      </w:r>
      <w:r w:rsidRPr="00050C91">
        <w:rPr>
          <w:rFonts w:ascii="inherit" w:hAnsi="inherit" w:cs="新細明體"/>
          <w:color w:val="666666"/>
          <w:kern w:val="0"/>
          <w:sz w:val="20"/>
        </w:rPr>
        <w:t> </w:t>
      </w:r>
      <w:r w:rsidRPr="00050C91">
        <w:rPr>
          <w:rFonts w:ascii="inherit" w:hAnsi="inherit" w:cs="新細明體"/>
          <w:color w:val="666666"/>
          <w:kern w:val="0"/>
          <w:sz w:val="20"/>
          <w:szCs w:val="20"/>
          <w:bdr w:val="none" w:sz="0" w:space="0" w:color="auto" w:frame="1"/>
        </w:rPr>
        <w:t>(Incheon Strategy to Make the Right Real</w:t>
      </w:r>
      <w:r w:rsidRPr="00050C91">
        <w:rPr>
          <w:rFonts w:ascii="Verdana" w:hAnsi="Verdana" w:cs="新細明體"/>
          <w:color w:val="666666"/>
          <w:kern w:val="0"/>
          <w:sz w:val="20"/>
          <w:szCs w:val="20"/>
        </w:rPr>
        <w:t>”</w:t>
      </w:r>
      <w:r w:rsidRPr="00050C91">
        <w:rPr>
          <w:rFonts w:ascii="inherit" w:hAnsi="inherit" w:cs="新細明體"/>
          <w:color w:val="666666"/>
          <w:kern w:val="0"/>
          <w:sz w:val="20"/>
        </w:rPr>
        <w:t> </w:t>
      </w:r>
      <w:r w:rsidRPr="00050C91">
        <w:rPr>
          <w:rFonts w:ascii="inherit" w:hAnsi="inherit" w:cs="新細明體"/>
          <w:color w:val="666666"/>
          <w:kern w:val="0"/>
          <w:sz w:val="20"/>
          <w:szCs w:val="20"/>
          <w:bdr w:val="none" w:sz="0" w:space="0" w:color="auto" w:frame="1"/>
        </w:rPr>
        <w:t>for Persons with Disabilities in Asia and the Pacific),</w:t>
      </w:r>
      <w:r w:rsidRPr="00050C91">
        <w:rPr>
          <w:rFonts w:ascii="Verdana" w:hAnsi="Verdana" w:cs="新細明體"/>
          <w:color w:val="666666"/>
          <w:kern w:val="0"/>
          <w:sz w:val="20"/>
          <w:szCs w:val="20"/>
        </w:rPr>
        <w:t>更進一步促請各國應用</w:t>
      </w:r>
      <w:r w:rsidRPr="00050C91">
        <w:rPr>
          <w:rFonts w:ascii="inherit" w:hAnsi="inherit" w:cs="新細明體"/>
          <w:color w:val="666666"/>
          <w:kern w:val="0"/>
          <w:sz w:val="20"/>
          <w:szCs w:val="20"/>
          <w:bdr w:val="none" w:sz="0" w:space="0" w:color="auto" w:frame="1"/>
        </w:rPr>
        <w:t>ICF</w:t>
      </w:r>
      <w:r w:rsidRPr="00050C91">
        <w:rPr>
          <w:rFonts w:ascii="Verdana" w:hAnsi="Verdana" w:cs="新細明體"/>
          <w:color w:val="666666"/>
          <w:kern w:val="0"/>
          <w:sz w:val="20"/>
          <w:szCs w:val="20"/>
        </w:rPr>
        <w:t>有關殘疾人口及他們相關的社會經濟數據，作為實踐</w:t>
      </w:r>
      <w:r w:rsidRPr="00050C91">
        <w:rPr>
          <w:rFonts w:ascii="inherit" w:hAnsi="inherit" w:cs="新細明體"/>
          <w:color w:val="666666"/>
          <w:kern w:val="0"/>
          <w:sz w:val="20"/>
          <w:szCs w:val="20"/>
          <w:bdr w:val="none" w:sz="0" w:space="0" w:color="auto" w:frame="1"/>
        </w:rPr>
        <w:t>2013-2022</w:t>
      </w:r>
      <w:r w:rsidRPr="00050C91">
        <w:rPr>
          <w:rFonts w:ascii="Verdana" w:hAnsi="Verdana" w:cs="新細明體"/>
          <w:color w:val="666666"/>
          <w:kern w:val="0"/>
          <w:sz w:val="20"/>
          <w:szCs w:val="20"/>
        </w:rPr>
        <w:t>年亞太殘疾人十年部長級宣言</w:t>
      </w:r>
      <w:r w:rsidRPr="00050C91">
        <w:rPr>
          <w:rFonts w:ascii="inherit" w:hAnsi="inherit" w:cs="新細明體"/>
          <w:color w:val="666666"/>
          <w:kern w:val="0"/>
          <w:sz w:val="20"/>
          <w:szCs w:val="20"/>
          <w:bdr w:val="none" w:sz="0" w:space="0" w:color="auto" w:frame="1"/>
        </w:rPr>
        <w:t>(Ministerial Declaration on the Asian and Pacific Decade of Persons with Disabilities, 2013</w:t>
      </w:r>
      <w:r w:rsidRPr="00050C91">
        <w:rPr>
          <w:rFonts w:ascii="Verdana" w:hAnsi="Verdana" w:cs="新細明體"/>
          <w:color w:val="666666"/>
          <w:kern w:val="0"/>
          <w:sz w:val="20"/>
          <w:szCs w:val="20"/>
        </w:rPr>
        <w:t>–</w:t>
      </w:r>
      <w:r w:rsidRPr="00050C91">
        <w:rPr>
          <w:rFonts w:ascii="inherit" w:hAnsi="inherit" w:cs="新細明體"/>
          <w:color w:val="666666"/>
          <w:kern w:val="0"/>
          <w:sz w:val="20"/>
          <w:szCs w:val="20"/>
          <w:bdr w:val="none" w:sz="0" w:space="0" w:color="auto" w:frame="1"/>
        </w:rPr>
        <w:t>2022)</w:t>
      </w:r>
      <w:r w:rsidRPr="00050C91">
        <w:rPr>
          <w:rFonts w:ascii="Verdana" w:hAnsi="Verdana" w:cs="新細明體"/>
          <w:color w:val="666666"/>
          <w:kern w:val="0"/>
          <w:sz w:val="20"/>
          <w:szCs w:val="20"/>
        </w:rPr>
        <w:t>的核心指標。</w:t>
      </w:r>
    </w:p>
    <w:p w:rsidR="00050C91" w:rsidRPr="00050C91" w:rsidRDefault="00050C91" w:rsidP="00050C91">
      <w:pPr>
        <w:widowControl/>
        <w:shd w:val="clear" w:color="auto" w:fill="FFFFFF"/>
        <w:spacing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時至今天，</w:t>
      </w:r>
      <w:r w:rsidRPr="00050C91">
        <w:rPr>
          <w:rFonts w:ascii="inherit" w:hAnsi="inherit" w:cs="新細明體"/>
          <w:color w:val="666666"/>
          <w:kern w:val="0"/>
          <w:sz w:val="20"/>
          <w:szCs w:val="20"/>
          <w:bdr w:val="none" w:sz="0" w:space="0" w:color="auto" w:frame="1"/>
        </w:rPr>
        <w:t>ICF</w:t>
      </w:r>
      <w:r w:rsidRPr="00050C91">
        <w:rPr>
          <w:rFonts w:ascii="inherit" w:hAnsi="inherit" w:cs="新細明體"/>
          <w:color w:val="666666"/>
          <w:kern w:val="0"/>
          <w:sz w:val="20"/>
        </w:rPr>
        <w:t> </w:t>
      </w:r>
      <w:r w:rsidRPr="00050C91">
        <w:rPr>
          <w:rFonts w:ascii="Verdana" w:hAnsi="Verdana" w:cs="新細明體"/>
          <w:color w:val="666666"/>
          <w:kern w:val="0"/>
          <w:sz w:val="20"/>
          <w:szCs w:val="20"/>
        </w:rPr>
        <w:t>在各國的經驗越趨成熟，亦將成為未來國際的普遍工具。事實上，即使我們今天局方願意行出第一步，從探討、了解、訓練、教育、系統整理、部門溝通、宣傳等，相信亦需相當時間，不能一步登天，操之過急。</w:t>
      </w:r>
    </w:p>
    <w:p w:rsidR="00050C91" w:rsidRPr="00050C91" w:rsidRDefault="00050C91" w:rsidP="00050C91">
      <w:pPr>
        <w:widowControl/>
        <w:shd w:val="clear" w:color="auto" w:fill="FFFFFF"/>
        <w:spacing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建議</w:t>
      </w:r>
      <w:r w:rsidRPr="00050C91">
        <w:rPr>
          <w:rFonts w:ascii="inherit" w:hAnsi="inherit" w:cs="新細明體"/>
          <w:color w:val="666666"/>
          <w:kern w:val="0"/>
          <w:sz w:val="20"/>
          <w:szCs w:val="20"/>
          <w:bdr w:val="none" w:sz="0" w:space="0" w:color="auto" w:frame="1"/>
        </w:rPr>
        <w:t>:</w:t>
      </w:r>
    </w:p>
    <w:p w:rsidR="00050C91" w:rsidRPr="00050C91" w:rsidRDefault="00050C91" w:rsidP="00050C91">
      <w:pPr>
        <w:widowControl/>
        <w:shd w:val="clear" w:color="auto" w:fill="FFFFFF"/>
        <w:spacing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 xml:space="preserve">1) </w:t>
      </w:r>
      <w:r w:rsidRPr="00050C91">
        <w:rPr>
          <w:rFonts w:ascii="Verdana" w:hAnsi="Verdana" w:cs="新細明體"/>
          <w:color w:val="666666"/>
          <w:kern w:val="0"/>
          <w:sz w:val="20"/>
          <w:szCs w:val="20"/>
        </w:rPr>
        <w:t>故此，我們建議議員、</w:t>
      </w:r>
      <w:proofErr w:type="gramStart"/>
      <w:r w:rsidRPr="00050C91">
        <w:rPr>
          <w:rFonts w:ascii="Verdana" w:hAnsi="Verdana" w:cs="新細明體"/>
          <w:color w:val="666666"/>
          <w:kern w:val="0"/>
          <w:sz w:val="20"/>
          <w:szCs w:val="20"/>
        </w:rPr>
        <w:t>勞福局及食衛</w:t>
      </w:r>
      <w:proofErr w:type="gramEnd"/>
      <w:r w:rsidRPr="00050C91">
        <w:rPr>
          <w:rFonts w:ascii="Verdana" w:hAnsi="Verdana" w:cs="新細明體"/>
          <w:color w:val="666666"/>
          <w:kern w:val="0"/>
          <w:sz w:val="20"/>
          <w:szCs w:val="20"/>
        </w:rPr>
        <w:t>局，就傷殘之定義全力展開以</w:t>
      </w:r>
      <w:proofErr w:type="gramStart"/>
      <w:r w:rsidRPr="00050C91">
        <w:rPr>
          <w:rFonts w:ascii="Verdana" w:hAnsi="Verdana" w:cs="新細明體"/>
          <w:color w:val="666666"/>
          <w:kern w:val="0"/>
          <w:sz w:val="20"/>
          <w:szCs w:val="20"/>
        </w:rPr>
        <w:t>世</w:t>
      </w:r>
      <w:proofErr w:type="gramEnd"/>
      <w:r w:rsidRPr="00050C91">
        <w:rPr>
          <w:rFonts w:ascii="Verdana" w:hAnsi="Verdana" w:cs="新細明體"/>
          <w:color w:val="666666"/>
          <w:kern w:val="0"/>
          <w:sz w:val="20"/>
          <w:szCs w:val="20"/>
        </w:rPr>
        <w:t>衛指標準</w:t>
      </w:r>
      <w:r w:rsidRPr="00050C91">
        <w:rPr>
          <w:rFonts w:ascii="inherit" w:hAnsi="inherit" w:cs="新細明體"/>
          <w:color w:val="666666"/>
          <w:kern w:val="0"/>
          <w:sz w:val="20"/>
        </w:rPr>
        <w:t> </w:t>
      </w:r>
      <w:r w:rsidRPr="00050C91">
        <w:rPr>
          <w:rFonts w:ascii="inherit" w:hAnsi="inherit" w:cs="新細明體"/>
          <w:color w:val="666666"/>
          <w:kern w:val="0"/>
          <w:sz w:val="20"/>
          <w:szCs w:val="20"/>
          <w:bdr w:val="none" w:sz="0" w:space="0" w:color="auto" w:frame="1"/>
        </w:rPr>
        <w:t>–</w:t>
      </w:r>
      <w:r w:rsidRPr="00050C91">
        <w:rPr>
          <w:rFonts w:ascii="inherit" w:hAnsi="inherit" w:cs="新細明體"/>
          <w:color w:val="666666"/>
          <w:kern w:val="0"/>
          <w:sz w:val="20"/>
        </w:rPr>
        <w:t> </w:t>
      </w:r>
      <w:r w:rsidRPr="00050C91">
        <w:rPr>
          <w:rFonts w:ascii="Verdana" w:hAnsi="Verdana" w:cs="新細明體"/>
          <w:color w:val="666666"/>
          <w:kern w:val="0"/>
          <w:sz w:val="20"/>
          <w:szCs w:val="20"/>
        </w:rPr>
        <w:t>《國際功能分類》作為本港傷殘定義的探索及應用，與時並進，全面檢討及革新香港之傷殘津貼制度，及相關政策。</w:t>
      </w:r>
    </w:p>
    <w:p w:rsidR="00050C91" w:rsidRPr="00050C91" w:rsidRDefault="00050C91" w:rsidP="00050C91">
      <w:pPr>
        <w:widowControl/>
        <w:shd w:val="clear" w:color="auto" w:fill="FFFFFF"/>
        <w:spacing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 xml:space="preserve">2) </w:t>
      </w:r>
      <w:r w:rsidRPr="00050C91">
        <w:rPr>
          <w:rFonts w:ascii="Verdana" w:hAnsi="Verdana" w:cs="新細明體"/>
          <w:color w:val="666666"/>
          <w:kern w:val="0"/>
          <w:sz w:val="20"/>
          <w:szCs w:val="20"/>
        </w:rPr>
        <w:t>在</w:t>
      </w:r>
      <w:r w:rsidRPr="00050C91">
        <w:rPr>
          <w:rFonts w:ascii="inherit" w:hAnsi="inherit" w:cs="新細明體"/>
          <w:color w:val="666666"/>
          <w:kern w:val="0"/>
          <w:sz w:val="20"/>
        </w:rPr>
        <w:t> </w:t>
      </w:r>
      <w:r w:rsidRPr="00050C91">
        <w:rPr>
          <w:rFonts w:ascii="inherit" w:hAnsi="inherit" w:cs="新細明體"/>
          <w:color w:val="666666"/>
          <w:kern w:val="0"/>
          <w:sz w:val="20"/>
          <w:szCs w:val="20"/>
          <w:bdr w:val="none" w:sz="0" w:space="0" w:color="auto" w:frame="1"/>
        </w:rPr>
        <w:t>ICF</w:t>
      </w:r>
      <w:r w:rsidRPr="00050C91">
        <w:rPr>
          <w:rFonts w:ascii="inherit" w:hAnsi="inherit" w:cs="新細明體"/>
          <w:color w:val="666666"/>
          <w:kern w:val="0"/>
          <w:sz w:val="20"/>
        </w:rPr>
        <w:t> </w:t>
      </w:r>
      <w:r w:rsidRPr="00050C91">
        <w:rPr>
          <w:rFonts w:ascii="Verdana" w:hAnsi="Verdana" w:cs="新細明體"/>
          <w:color w:val="666666"/>
          <w:kern w:val="0"/>
          <w:sz w:val="20"/>
          <w:szCs w:val="20"/>
        </w:rPr>
        <w:t>未能完全實踐的時候，只要在現時的表格中除去「喪失百份百謀生能力」及「完全殘疾」兩項指標，</w:t>
      </w:r>
      <w:r w:rsidRPr="00050C91">
        <w:rPr>
          <w:rFonts w:ascii="inherit" w:hAnsi="inherit" w:cs="新細明體"/>
          <w:color w:val="666666"/>
          <w:kern w:val="0"/>
          <w:sz w:val="20"/>
          <w:szCs w:val="20"/>
          <w:bdr w:val="none" w:sz="0" w:space="0" w:color="auto" w:frame="1"/>
        </w:rPr>
        <w:t>(</w:t>
      </w:r>
      <w:r w:rsidRPr="00050C91">
        <w:rPr>
          <w:rFonts w:ascii="Verdana" w:hAnsi="Verdana" w:cs="新細明體"/>
          <w:color w:val="666666"/>
          <w:kern w:val="0"/>
          <w:sz w:val="20"/>
          <w:szCs w:val="20"/>
        </w:rPr>
        <w:t>亦可考慮加上一項：其他</w:t>
      </w:r>
      <w:r w:rsidRPr="00050C91">
        <w:rPr>
          <w:rFonts w:ascii="inherit" w:hAnsi="inherit" w:cs="新細明體"/>
          <w:color w:val="666666"/>
          <w:kern w:val="0"/>
          <w:sz w:val="20"/>
          <w:szCs w:val="20"/>
          <w:bdr w:val="none" w:sz="0" w:space="0" w:color="auto" w:frame="1"/>
        </w:rPr>
        <w:t>)</w:t>
      </w:r>
      <w:r w:rsidRPr="00050C91">
        <w:rPr>
          <w:rFonts w:ascii="Verdana" w:hAnsi="Verdana" w:cs="新細明體"/>
          <w:color w:val="666666"/>
          <w:kern w:val="0"/>
          <w:sz w:val="20"/>
          <w:szCs w:val="20"/>
        </w:rPr>
        <w:t>，醫生仍能按其專業判斷，批核給有需要的嚴重傷殘人士。</w:t>
      </w:r>
    </w:p>
    <w:p w:rsidR="00050C91" w:rsidRPr="00050C91" w:rsidRDefault="00050C91" w:rsidP="00050C91">
      <w:pPr>
        <w:widowControl/>
        <w:shd w:val="clear" w:color="auto" w:fill="FFFFFF"/>
        <w:spacing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 xml:space="preserve">3) </w:t>
      </w:r>
      <w:r w:rsidRPr="00050C91">
        <w:rPr>
          <w:rFonts w:ascii="Verdana" w:hAnsi="Verdana" w:cs="新細明體"/>
          <w:color w:val="666666"/>
          <w:kern w:val="0"/>
          <w:sz w:val="20"/>
          <w:szCs w:val="20"/>
        </w:rPr>
        <w:t>健康權及生命權</w:t>
      </w:r>
      <w:r w:rsidRPr="00050C91">
        <w:rPr>
          <w:rFonts w:ascii="inherit" w:hAnsi="inherit" w:cs="新細明體"/>
          <w:color w:val="666666"/>
          <w:kern w:val="0"/>
          <w:sz w:val="20"/>
        </w:rPr>
        <w:t> </w:t>
      </w:r>
      <w:r w:rsidRPr="00050C91">
        <w:rPr>
          <w:rFonts w:ascii="inherit" w:hAnsi="inherit" w:cs="新細明體"/>
          <w:color w:val="666666"/>
          <w:kern w:val="0"/>
          <w:sz w:val="20"/>
          <w:szCs w:val="20"/>
          <w:bdr w:val="none" w:sz="0" w:space="0" w:color="auto" w:frame="1"/>
        </w:rPr>
        <w:t>—-</w:t>
      </w:r>
      <w:r w:rsidRPr="00050C91">
        <w:rPr>
          <w:rFonts w:ascii="inherit" w:hAnsi="inherit" w:cs="新細明體"/>
          <w:color w:val="666666"/>
          <w:kern w:val="0"/>
          <w:sz w:val="20"/>
        </w:rPr>
        <w:t> </w:t>
      </w:r>
      <w:r w:rsidRPr="00050C91">
        <w:rPr>
          <w:rFonts w:ascii="Verdana" w:hAnsi="Verdana" w:cs="新細明體"/>
          <w:color w:val="666666"/>
          <w:kern w:val="0"/>
          <w:sz w:val="20"/>
          <w:szCs w:val="20"/>
        </w:rPr>
        <w:t>神經科學專科卓越醫療中心前特首在</w:t>
      </w:r>
      <w:r w:rsidRPr="00050C91">
        <w:rPr>
          <w:rFonts w:ascii="inherit" w:hAnsi="inherit" w:cs="新細明體"/>
          <w:color w:val="666666"/>
          <w:kern w:val="0"/>
          <w:sz w:val="20"/>
          <w:szCs w:val="20"/>
          <w:bdr w:val="none" w:sz="0" w:space="0" w:color="auto" w:frame="1"/>
        </w:rPr>
        <w:t>2007</w:t>
      </w:r>
      <w:r w:rsidRPr="00050C91">
        <w:rPr>
          <w:rFonts w:ascii="inherit" w:hAnsi="inherit" w:cs="新細明體"/>
          <w:color w:val="666666"/>
          <w:kern w:val="0"/>
          <w:sz w:val="20"/>
        </w:rPr>
        <w:t> </w:t>
      </w:r>
      <w:r w:rsidRPr="00050C91">
        <w:rPr>
          <w:rFonts w:ascii="Verdana" w:hAnsi="Verdana" w:cs="新細明體"/>
          <w:color w:val="666666"/>
          <w:kern w:val="0"/>
          <w:sz w:val="20"/>
          <w:szCs w:val="20"/>
        </w:rPr>
        <w:t>年《施政報告》提出打造本港成醫療中心，研究成立兒童專科以及腦神經專科兩個卓越醫療中心。其中腦神經專科卓越醫療中心</w:t>
      </w:r>
      <w:r w:rsidRPr="00050C91">
        <w:rPr>
          <w:rFonts w:ascii="Verdana" w:hAnsi="Verdana" w:cs="新細明體"/>
          <w:color w:val="666666"/>
          <w:kern w:val="0"/>
          <w:sz w:val="20"/>
        </w:rPr>
        <w:t> </w:t>
      </w:r>
      <w:r w:rsidRPr="00050C91">
        <w:rPr>
          <w:rFonts w:ascii="inherit" w:hAnsi="inherit" w:cs="新細明體"/>
          <w:color w:val="666666"/>
          <w:kern w:val="0"/>
          <w:sz w:val="20"/>
          <w:szCs w:val="20"/>
          <w:bdr w:val="none" w:sz="0" w:space="0" w:color="auto" w:frame="1"/>
        </w:rPr>
        <w:t>(Centre of Excellence in Neuroscience</w:t>
      </w:r>
      <w:r w:rsidRPr="00050C91">
        <w:rPr>
          <w:rFonts w:ascii="Verdana" w:hAnsi="Verdana" w:cs="新細明體"/>
          <w:color w:val="666666"/>
          <w:kern w:val="0"/>
          <w:sz w:val="20"/>
          <w:szCs w:val="20"/>
        </w:rPr>
        <w:t>）的成立，是希望把腦內科、外科，中風等腦專科，集中在一個中心處理，提高醫學水平，為腦科重症</w:t>
      </w:r>
      <w:r w:rsidRPr="00050C91">
        <w:rPr>
          <w:rFonts w:ascii="inherit" w:hAnsi="inherit" w:cs="新細明體"/>
          <w:color w:val="666666"/>
          <w:kern w:val="0"/>
          <w:sz w:val="20"/>
          <w:szCs w:val="20"/>
          <w:bdr w:val="none" w:sz="0" w:space="0" w:color="auto" w:frame="1"/>
        </w:rPr>
        <w:t>/</w:t>
      </w:r>
      <w:r w:rsidRPr="00050C91">
        <w:rPr>
          <w:rFonts w:ascii="inherit" w:hAnsi="inherit" w:cs="新細明體"/>
          <w:color w:val="666666"/>
          <w:kern w:val="0"/>
          <w:sz w:val="20"/>
        </w:rPr>
        <w:t> </w:t>
      </w:r>
      <w:r w:rsidRPr="00050C91">
        <w:rPr>
          <w:rFonts w:ascii="Verdana" w:hAnsi="Verdana" w:cs="新細明體"/>
          <w:color w:val="666666"/>
          <w:kern w:val="0"/>
          <w:sz w:val="20"/>
          <w:szCs w:val="20"/>
        </w:rPr>
        <w:t>難治的病人提供治療，如柏金遜症、肌肉萎縮症、腦癇症</w:t>
      </w:r>
      <w:r w:rsidRPr="00050C91">
        <w:rPr>
          <w:rFonts w:ascii="inherit" w:hAnsi="inherit" w:cs="新細明體"/>
          <w:color w:val="666666"/>
          <w:kern w:val="0"/>
          <w:sz w:val="20"/>
          <w:szCs w:val="20"/>
          <w:bdr w:val="none" w:sz="0" w:space="0" w:color="auto" w:frame="1"/>
        </w:rPr>
        <w:t>(</w:t>
      </w:r>
      <w:r w:rsidRPr="00050C91">
        <w:rPr>
          <w:rFonts w:ascii="Verdana" w:hAnsi="Verdana" w:cs="新細明體"/>
          <w:color w:val="666666"/>
          <w:kern w:val="0"/>
          <w:sz w:val="20"/>
          <w:szCs w:val="20"/>
        </w:rPr>
        <w:t>前稱癲癇，英文為</w:t>
      </w:r>
      <w:r w:rsidRPr="00050C91">
        <w:rPr>
          <w:rFonts w:ascii="inherit" w:hAnsi="inherit" w:cs="新細明體"/>
          <w:color w:val="666666"/>
          <w:kern w:val="0"/>
          <w:sz w:val="20"/>
        </w:rPr>
        <w:t> </w:t>
      </w:r>
      <w:r w:rsidRPr="00050C91">
        <w:rPr>
          <w:rFonts w:ascii="inherit" w:hAnsi="inherit" w:cs="新細明體"/>
          <w:color w:val="666666"/>
          <w:kern w:val="0"/>
          <w:sz w:val="20"/>
          <w:szCs w:val="20"/>
          <w:bdr w:val="none" w:sz="0" w:space="0" w:color="auto" w:frame="1"/>
        </w:rPr>
        <w:t>epilepsy)</w:t>
      </w:r>
      <w:r w:rsidRPr="00050C91">
        <w:rPr>
          <w:rFonts w:ascii="inherit" w:hAnsi="inherit" w:cs="新細明體"/>
          <w:color w:val="666666"/>
          <w:kern w:val="0"/>
          <w:sz w:val="20"/>
        </w:rPr>
        <w:t> </w:t>
      </w:r>
      <w:r w:rsidRPr="00050C91">
        <w:rPr>
          <w:rFonts w:ascii="Verdana" w:hAnsi="Verdana" w:cs="新細明體"/>
          <w:color w:val="666666"/>
          <w:kern w:val="0"/>
          <w:sz w:val="20"/>
          <w:szCs w:val="20"/>
        </w:rPr>
        <w:t>及中風等，亦希望配備先進化驗儀器，可加快診斷等，讓病人盡早獲得治療。現時兒童專科已選址在舊啟德機場，而腦神經專科中心卻只聞樓梯響，杳無音訊。</w:t>
      </w:r>
      <w:r w:rsidRPr="00050C91">
        <w:rPr>
          <w:rFonts w:ascii="inherit" w:hAnsi="inherit" w:cs="新細明體"/>
          <w:color w:val="666666"/>
          <w:kern w:val="0"/>
          <w:sz w:val="20"/>
          <w:szCs w:val="20"/>
          <w:bdr w:val="none" w:sz="0" w:space="0" w:color="auto" w:frame="1"/>
        </w:rPr>
        <w:t>2012</w:t>
      </w:r>
      <w:r w:rsidRPr="00050C91">
        <w:rPr>
          <w:rFonts w:ascii="inherit" w:hAnsi="inherit" w:cs="新細明體"/>
          <w:color w:val="666666"/>
          <w:kern w:val="0"/>
          <w:sz w:val="20"/>
        </w:rPr>
        <w:t> </w:t>
      </w:r>
      <w:r w:rsidRPr="00050C91">
        <w:rPr>
          <w:rFonts w:ascii="Verdana" w:hAnsi="Verdana" w:cs="新細明體"/>
          <w:color w:val="666666"/>
          <w:kern w:val="0"/>
          <w:sz w:val="20"/>
          <w:szCs w:val="20"/>
        </w:rPr>
        <w:t>年</w:t>
      </w:r>
      <w:r w:rsidRPr="00050C91">
        <w:rPr>
          <w:rFonts w:ascii="inherit" w:hAnsi="inherit" w:cs="新細明體"/>
          <w:color w:val="666666"/>
          <w:kern w:val="0"/>
          <w:sz w:val="20"/>
          <w:szCs w:val="20"/>
          <w:bdr w:val="none" w:sz="0" w:space="0" w:color="auto" w:frame="1"/>
        </w:rPr>
        <w:t>11</w:t>
      </w:r>
      <w:r w:rsidRPr="00050C91">
        <w:rPr>
          <w:rFonts w:ascii="inherit" w:hAnsi="inherit" w:cs="新細明體"/>
          <w:color w:val="666666"/>
          <w:kern w:val="0"/>
          <w:sz w:val="20"/>
        </w:rPr>
        <w:t> </w:t>
      </w:r>
      <w:r w:rsidRPr="00050C91">
        <w:rPr>
          <w:rFonts w:ascii="Verdana" w:hAnsi="Verdana" w:cs="新細明體"/>
          <w:color w:val="666666"/>
          <w:kern w:val="0"/>
          <w:sz w:val="20"/>
          <w:szCs w:val="20"/>
        </w:rPr>
        <w:t>月份懷疑巴士司機腦癇症發作，引致多人傷亡；現年二十多歲女孩服用四重抗腦</w:t>
      </w:r>
      <w:proofErr w:type="gramStart"/>
      <w:r w:rsidRPr="00050C91">
        <w:rPr>
          <w:rFonts w:ascii="Verdana" w:hAnsi="Verdana" w:cs="新細明體"/>
          <w:color w:val="666666"/>
          <w:kern w:val="0"/>
          <w:sz w:val="20"/>
          <w:szCs w:val="20"/>
        </w:rPr>
        <w:t>癇</w:t>
      </w:r>
      <w:proofErr w:type="gramEnd"/>
      <w:r w:rsidRPr="00050C91">
        <w:rPr>
          <w:rFonts w:ascii="Verdana" w:hAnsi="Verdana" w:cs="新細明體"/>
          <w:color w:val="666666"/>
          <w:kern w:val="0"/>
          <w:sz w:val="20"/>
          <w:szCs w:val="20"/>
        </w:rPr>
        <w:t>藥，發作次數仍</w:t>
      </w:r>
      <w:proofErr w:type="gramStart"/>
      <w:r w:rsidRPr="00050C91">
        <w:rPr>
          <w:rFonts w:ascii="Verdana" w:hAnsi="Verdana" w:cs="新細明體"/>
          <w:color w:val="666666"/>
          <w:kern w:val="0"/>
          <w:sz w:val="20"/>
          <w:szCs w:val="20"/>
        </w:rPr>
        <w:t>相當</w:t>
      </w:r>
      <w:proofErr w:type="gramEnd"/>
      <w:r w:rsidRPr="00050C91">
        <w:rPr>
          <w:rFonts w:ascii="Verdana" w:hAnsi="Verdana" w:cs="新細明體"/>
          <w:color w:val="666666"/>
          <w:kern w:val="0"/>
          <w:sz w:val="20"/>
          <w:szCs w:val="20"/>
        </w:rPr>
        <w:t>頻密，每</w:t>
      </w:r>
      <w:proofErr w:type="gramStart"/>
      <w:r w:rsidRPr="00050C91">
        <w:rPr>
          <w:rFonts w:ascii="Verdana" w:hAnsi="Verdana" w:cs="新細明體"/>
          <w:color w:val="666666"/>
          <w:kern w:val="0"/>
          <w:sz w:val="20"/>
          <w:szCs w:val="20"/>
        </w:rPr>
        <w:t>個</w:t>
      </w:r>
      <w:proofErr w:type="gramEnd"/>
      <w:r w:rsidRPr="00050C91">
        <w:rPr>
          <w:rFonts w:ascii="Verdana" w:hAnsi="Verdana" w:cs="新細明體"/>
          <w:color w:val="666666"/>
          <w:kern w:val="0"/>
          <w:sz w:val="20"/>
          <w:szCs w:val="20"/>
        </w:rPr>
        <w:t>月逾十次，抽搐</w:t>
      </w:r>
      <w:proofErr w:type="gramStart"/>
      <w:r w:rsidRPr="00050C91">
        <w:rPr>
          <w:rFonts w:ascii="Verdana" w:hAnsi="Verdana" w:cs="新細明體"/>
          <w:color w:val="666666"/>
          <w:kern w:val="0"/>
          <w:sz w:val="20"/>
          <w:szCs w:val="20"/>
        </w:rPr>
        <w:t>疼痛，</w:t>
      </w:r>
      <w:proofErr w:type="gramEnd"/>
      <w:r w:rsidRPr="00050C91">
        <w:rPr>
          <w:rFonts w:ascii="Verdana" w:hAnsi="Verdana" w:cs="新細明體"/>
          <w:color w:val="666666"/>
          <w:kern w:val="0"/>
          <w:sz w:val="20"/>
          <w:szCs w:val="20"/>
        </w:rPr>
        <w:t>無助痛哭，對</w:t>
      </w:r>
      <w:proofErr w:type="gramStart"/>
      <w:r w:rsidRPr="00050C91">
        <w:rPr>
          <w:rFonts w:ascii="Verdana" w:hAnsi="Verdana" w:cs="新細明體"/>
          <w:color w:val="666666"/>
          <w:kern w:val="0"/>
          <w:sz w:val="20"/>
          <w:szCs w:val="20"/>
        </w:rPr>
        <w:t>前路感擔心</w:t>
      </w:r>
      <w:proofErr w:type="gramEnd"/>
      <w:r w:rsidRPr="00050C91">
        <w:rPr>
          <w:rFonts w:ascii="Verdana" w:hAnsi="Verdana" w:cs="新細明體"/>
          <w:color w:val="666666"/>
          <w:kern w:val="0"/>
          <w:sz w:val="20"/>
          <w:szCs w:val="20"/>
        </w:rPr>
        <w:t>及困擾。另有亦有不少個案因在街上發作</w:t>
      </w:r>
      <w:proofErr w:type="gramStart"/>
      <w:r w:rsidRPr="00050C91">
        <w:rPr>
          <w:rFonts w:ascii="Verdana" w:hAnsi="Verdana" w:cs="新細明體"/>
          <w:color w:val="666666"/>
          <w:kern w:val="0"/>
          <w:sz w:val="20"/>
          <w:szCs w:val="20"/>
        </w:rPr>
        <w:t>失救而</w:t>
      </w:r>
      <w:proofErr w:type="gramEnd"/>
      <w:r w:rsidRPr="00050C91">
        <w:rPr>
          <w:rFonts w:ascii="Verdana" w:hAnsi="Verdana" w:cs="新細明體"/>
          <w:color w:val="666666"/>
          <w:kern w:val="0"/>
          <w:sz w:val="20"/>
          <w:szCs w:val="20"/>
        </w:rPr>
        <w:t>斷送寶貴生命。</w:t>
      </w:r>
      <w:proofErr w:type="gramStart"/>
      <w:r w:rsidRPr="00050C91">
        <w:rPr>
          <w:rFonts w:ascii="Verdana" w:hAnsi="Verdana" w:cs="新細明體"/>
          <w:color w:val="666666"/>
          <w:kern w:val="0"/>
          <w:sz w:val="20"/>
          <w:szCs w:val="20"/>
        </w:rPr>
        <w:t>此外，五十七歲柏金遜漢青衣橋跳海亡</w:t>
      </w:r>
      <w:proofErr w:type="gramEnd"/>
      <w:r w:rsidRPr="00050C91">
        <w:rPr>
          <w:rFonts w:ascii="inherit" w:hAnsi="inherit" w:cs="新細明體"/>
          <w:color w:val="666666"/>
          <w:kern w:val="0"/>
          <w:sz w:val="20"/>
        </w:rPr>
        <w:t> </w:t>
      </w:r>
      <w:r w:rsidRPr="00050C91">
        <w:rPr>
          <w:rFonts w:ascii="inherit" w:hAnsi="inherit" w:cs="新細明體"/>
          <w:color w:val="666666"/>
          <w:kern w:val="0"/>
          <w:sz w:val="20"/>
          <w:szCs w:val="20"/>
          <w:bdr w:val="none" w:sz="0" w:space="0" w:color="auto" w:frame="1"/>
        </w:rPr>
        <w:t>(2010</w:t>
      </w:r>
      <w:r w:rsidRPr="00050C91">
        <w:rPr>
          <w:rFonts w:ascii="inherit" w:hAnsi="inherit" w:cs="新細明體"/>
          <w:color w:val="666666"/>
          <w:kern w:val="0"/>
          <w:sz w:val="20"/>
        </w:rPr>
        <w:t> </w:t>
      </w:r>
      <w:r w:rsidRPr="00050C91">
        <w:rPr>
          <w:rFonts w:ascii="Verdana" w:hAnsi="Verdana" w:cs="新細明體"/>
          <w:color w:val="666666"/>
          <w:kern w:val="0"/>
          <w:sz w:val="20"/>
          <w:szCs w:val="20"/>
        </w:rPr>
        <w:t>年</w:t>
      </w:r>
      <w:r w:rsidRPr="00050C91">
        <w:rPr>
          <w:rFonts w:ascii="inherit" w:hAnsi="inherit" w:cs="新細明體"/>
          <w:color w:val="666666"/>
          <w:kern w:val="0"/>
          <w:sz w:val="20"/>
          <w:szCs w:val="20"/>
          <w:bdr w:val="none" w:sz="0" w:space="0" w:color="auto" w:frame="1"/>
        </w:rPr>
        <w:t>)</w:t>
      </w:r>
      <w:r w:rsidRPr="00050C91">
        <w:rPr>
          <w:rFonts w:ascii="Verdana" w:hAnsi="Verdana" w:cs="新細明體"/>
          <w:color w:val="666666"/>
          <w:kern w:val="0"/>
          <w:sz w:val="20"/>
          <w:szCs w:val="20"/>
        </w:rPr>
        <w:t>、七旬腎病翁自殺、狂飲通渠水命危</w:t>
      </w:r>
      <w:r w:rsidRPr="00050C91">
        <w:rPr>
          <w:rFonts w:ascii="inherit" w:hAnsi="inherit" w:cs="新細明體"/>
          <w:color w:val="666666"/>
          <w:kern w:val="0"/>
          <w:sz w:val="20"/>
        </w:rPr>
        <w:t> </w:t>
      </w:r>
      <w:r w:rsidRPr="00050C91">
        <w:rPr>
          <w:rFonts w:ascii="inherit" w:hAnsi="inherit" w:cs="新細明體"/>
          <w:color w:val="666666"/>
          <w:kern w:val="0"/>
          <w:sz w:val="20"/>
          <w:szCs w:val="20"/>
          <w:bdr w:val="none" w:sz="0" w:space="0" w:color="auto" w:frame="1"/>
        </w:rPr>
        <w:t>(2010)</w:t>
      </w:r>
      <w:r w:rsidRPr="00050C91">
        <w:rPr>
          <w:rFonts w:ascii="Verdana" w:hAnsi="Verdana" w:cs="新細明體"/>
          <w:color w:val="666666"/>
          <w:kern w:val="0"/>
          <w:sz w:val="20"/>
          <w:szCs w:val="20"/>
        </w:rPr>
        <w:t>，都是腦科病人及長期病患者冰山一角的故事。</w:t>
      </w:r>
    </w:p>
    <w:p w:rsidR="00050C91" w:rsidRPr="00050C91" w:rsidRDefault="00050C91" w:rsidP="00050C91">
      <w:pPr>
        <w:widowControl/>
        <w:shd w:val="clear" w:color="auto" w:fill="FFFFFF"/>
        <w:spacing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lastRenderedPageBreak/>
        <w:t>殘疾人士的健康權和生命權的保障是透過有效的政策和資源得以實踐。遺憾的是，康復服務計劃自</w:t>
      </w:r>
      <w:r w:rsidRPr="00050C91">
        <w:rPr>
          <w:rFonts w:ascii="inherit" w:hAnsi="inherit" w:cs="新細明體"/>
          <w:color w:val="666666"/>
          <w:kern w:val="0"/>
          <w:sz w:val="20"/>
          <w:szCs w:val="20"/>
          <w:bdr w:val="none" w:sz="0" w:space="0" w:color="auto" w:frame="1"/>
        </w:rPr>
        <w:t>1976</w:t>
      </w:r>
      <w:r w:rsidRPr="00050C91">
        <w:rPr>
          <w:rFonts w:ascii="inherit" w:hAnsi="inherit" w:cs="新細明體"/>
          <w:color w:val="666666"/>
          <w:kern w:val="0"/>
          <w:sz w:val="20"/>
        </w:rPr>
        <w:t> </w:t>
      </w:r>
      <w:r w:rsidRPr="00050C91">
        <w:rPr>
          <w:rFonts w:ascii="Verdana" w:hAnsi="Verdana" w:cs="新細明體"/>
          <w:color w:val="666666"/>
          <w:kern w:val="0"/>
          <w:sz w:val="20"/>
          <w:szCs w:val="20"/>
        </w:rPr>
        <w:t>年始，但直至</w:t>
      </w:r>
      <w:r w:rsidRPr="00050C91">
        <w:rPr>
          <w:rFonts w:ascii="inherit" w:hAnsi="inherit" w:cs="新細明體"/>
          <w:color w:val="666666"/>
          <w:kern w:val="0"/>
          <w:sz w:val="20"/>
          <w:szCs w:val="20"/>
          <w:bdr w:val="none" w:sz="0" w:space="0" w:color="auto" w:frame="1"/>
        </w:rPr>
        <w:t>2007</w:t>
      </w:r>
      <w:r w:rsidRPr="00050C91">
        <w:rPr>
          <w:rFonts w:ascii="inherit" w:hAnsi="inherit" w:cs="新細明體"/>
          <w:color w:val="666666"/>
          <w:kern w:val="0"/>
          <w:sz w:val="20"/>
        </w:rPr>
        <w:t> </w:t>
      </w:r>
      <w:r w:rsidRPr="00050C91">
        <w:rPr>
          <w:rFonts w:ascii="Verdana" w:hAnsi="Verdana" w:cs="新細明體"/>
          <w:color w:val="666666"/>
          <w:kern w:val="0"/>
          <w:sz w:val="20"/>
          <w:szCs w:val="20"/>
        </w:rPr>
        <w:t>年後銷聲匿跡。沒有計劃，就只能頭痛</w:t>
      </w:r>
      <w:proofErr w:type="gramStart"/>
      <w:r w:rsidRPr="00050C91">
        <w:rPr>
          <w:rFonts w:ascii="Verdana" w:hAnsi="Verdana" w:cs="新細明體"/>
          <w:color w:val="666666"/>
          <w:kern w:val="0"/>
          <w:sz w:val="20"/>
          <w:szCs w:val="20"/>
        </w:rPr>
        <w:t>醫痛頭</w:t>
      </w:r>
      <w:proofErr w:type="gramEnd"/>
      <w:r w:rsidRPr="00050C91">
        <w:rPr>
          <w:rFonts w:ascii="Verdana" w:hAnsi="Verdana" w:cs="新細明體"/>
          <w:color w:val="666666"/>
          <w:kern w:val="0"/>
          <w:sz w:val="20"/>
          <w:szCs w:val="20"/>
        </w:rPr>
        <w:t>、腳痛</w:t>
      </w:r>
      <w:proofErr w:type="gramStart"/>
      <w:r w:rsidRPr="00050C91">
        <w:rPr>
          <w:rFonts w:ascii="Verdana" w:hAnsi="Verdana" w:cs="新細明體"/>
          <w:color w:val="666666"/>
          <w:kern w:val="0"/>
          <w:sz w:val="20"/>
          <w:szCs w:val="20"/>
        </w:rPr>
        <w:t>醫</w:t>
      </w:r>
      <w:proofErr w:type="gramEnd"/>
      <w:r w:rsidRPr="00050C91">
        <w:rPr>
          <w:rFonts w:ascii="Verdana" w:hAnsi="Verdana" w:cs="新細明體"/>
          <w:color w:val="666666"/>
          <w:kern w:val="0"/>
          <w:sz w:val="20"/>
          <w:szCs w:val="20"/>
        </w:rPr>
        <w:t>腳。</w:t>
      </w:r>
    </w:p>
    <w:p w:rsidR="00050C91" w:rsidRPr="00050C91" w:rsidRDefault="00050C91" w:rsidP="00050C91">
      <w:pPr>
        <w:widowControl/>
        <w:shd w:val="clear" w:color="auto" w:fill="FFFFFF"/>
        <w:spacing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建議</w:t>
      </w:r>
      <w:r w:rsidRPr="00050C91">
        <w:rPr>
          <w:rFonts w:ascii="inherit" w:hAnsi="inherit" w:cs="新細明體"/>
          <w:color w:val="666666"/>
          <w:kern w:val="0"/>
          <w:sz w:val="20"/>
          <w:szCs w:val="20"/>
          <w:bdr w:val="none" w:sz="0" w:space="0" w:color="auto" w:frame="1"/>
        </w:rPr>
        <w:t>:</w:t>
      </w:r>
    </w:p>
    <w:p w:rsidR="00050C91" w:rsidRPr="00213CE4" w:rsidRDefault="00050C91" w:rsidP="00050C91">
      <w:pPr>
        <w:widowControl/>
        <w:numPr>
          <w:ilvl w:val="0"/>
          <w:numId w:val="1"/>
        </w:numPr>
        <w:shd w:val="clear" w:color="auto" w:fill="FFFFFF"/>
        <w:spacing w:before="204" w:after="204" w:line="336" w:lineRule="atLeast"/>
        <w:ind w:left="444" w:firstLine="0"/>
        <w:textAlignment w:val="baseline"/>
        <w:rPr>
          <w:rFonts w:ascii="Verdana" w:hAnsi="Verdana" w:cs="新細明體"/>
          <w:color w:val="666666"/>
          <w:kern w:val="0"/>
          <w:sz w:val="20"/>
          <w:szCs w:val="20"/>
        </w:rPr>
      </w:pPr>
      <w:r w:rsidRPr="00213CE4">
        <w:rPr>
          <w:rFonts w:ascii="inherit" w:hAnsi="inherit" w:cs="新細明體"/>
          <w:color w:val="666666"/>
          <w:kern w:val="0"/>
          <w:sz w:val="20"/>
          <w:szCs w:val="20"/>
        </w:rPr>
        <w:t>我們敦促政府能跟進腦神經專科中心的成立，為腦科病人提供合適的支</w:t>
      </w:r>
      <w:bookmarkStart w:id="0" w:name="_GoBack"/>
      <w:bookmarkEnd w:id="0"/>
      <w:r w:rsidRPr="00213CE4">
        <w:rPr>
          <w:rFonts w:ascii="Verdana" w:hAnsi="Verdana" w:cs="新細明體"/>
          <w:color w:val="666666"/>
          <w:kern w:val="0"/>
          <w:sz w:val="20"/>
          <w:szCs w:val="20"/>
        </w:rPr>
        <w:t>援；</w:t>
      </w:r>
    </w:p>
    <w:p w:rsidR="00050C91" w:rsidRPr="00050C91" w:rsidRDefault="00050C91" w:rsidP="00050C91">
      <w:pPr>
        <w:widowControl/>
        <w:numPr>
          <w:ilvl w:val="0"/>
          <w:numId w:val="2"/>
        </w:numPr>
        <w:shd w:val="clear" w:color="auto" w:fill="FFFFFF"/>
        <w:spacing w:line="336" w:lineRule="atLeast"/>
        <w:ind w:left="444" w:firstLine="0"/>
        <w:textAlignment w:val="baseline"/>
        <w:rPr>
          <w:rFonts w:ascii="inherit" w:hAnsi="inherit" w:cs="新細明體" w:hint="eastAsia"/>
          <w:color w:val="666666"/>
          <w:kern w:val="0"/>
          <w:sz w:val="20"/>
          <w:szCs w:val="20"/>
        </w:rPr>
      </w:pPr>
      <w:proofErr w:type="gramStart"/>
      <w:r w:rsidRPr="00050C91">
        <w:rPr>
          <w:rFonts w:ascii="inherit" w:hAnsi="inherit" w:cs="新細明體"/>
          <w:color w:val="666666"/>
          <w:kern w:val="0"/>
          <w:sz w:val="20"/>
          <w:szCs w:val="20"/>
        </w:rPr>
        <w:t>勞福局及食衛</w:t>
      </w:r>
      <w:proofErr w:type="gramEnd"/>
      <w:r w:rsidRPr="00050C91">
        <w:rPr>
          <w:rFonts w:ascii="inherit" w:hAnsi="inherit" w:cs="新細明體"/>
          <w:color w:val="666666"/>
          <w:kern w:val="0"/>
          <w:sz w:val="20"/>
          <w:szCs w:val="20"/>
        </w:rPr>
        <w:t>局合力制定長遠的醫療和</w:t>
      </w:r>
      <w:proofErr w:type="gramStart"/>
      <w:r w:rsidRPr="00050C91">
        <w:rPr>
          <w:rFonts w:ascii="inherit" w:hAnsi="inherit" w:cs="新細明體"/>
          <w:color w:val="666666"/>
          <w:kern w:val="0"/>
          <w:sz w:val="20"/>
          <w:szCs w:val="20"/>
        </w:rPr>
        <w:t>復康</w:t>
      </w:r>
      <w:proofErr w:type="gramEnd"/>
      <w:r w:rsidRPr="00050C91">
        <w:rPr>
          <w:rFonts w:ascii="inherit" w:hAnsi="inherit" w:cs="新細明體"/>
          <w:color w:val="666666"/>
          <w:kern w:val="0"/>
          <w:sz w:val="20"/>
          <w:szCs w:val="20"/>
        </w:rPr>
        <w:t>政策、包括康復計劃方案，推出有效措施及增撥資源，</w:t>
      </w:r>
      <w:proofErr w:type="gramStart"/>
      <w:r w:rsidRPr="00050C91">
        <w:rPr>
          <w:rFonts w:ascii="inherit" w:hAnsi="inherit" w:cs="新細明體"/>
          <w:color w:val="666666"/>
          <w:kern w:val="0"/>
          <w:sz w:val="20"/>
          <w:szCs w:val="20"/>
        </w:rPr>
        <w:t>關顧有</w:t>
      </w:r>
      <w:proofErr w:type="gramEnd"/>
      <w:r w:rsidRPr="00050C91">
        <w:rPr>
          <w:rFonts w:ascii="inherit" w:hAnsi="inherit" w:cs="新細明體"/>
          <w:color w:val="666666"/>
          <w:kern w:val="0"/>
          <w:sz w:val="20"/>
          <w:szCs w:val="20"/>
        </w:rPr>
        <w:t>需要的殘疾人士，以確保殘疾者的健康權和生命權。</w:t>
      </w:r>
    </w:p>
    <w:p w:rsidR="00050C91" w:rsidRPr="00050C91" w:rsidRDefault="00050C91" w:rsidP="00050C91">
      <w:pPr>
        <w:widowControl/>
        <w:shd w:val="clear" w:color="auto" w:fill="FFFFFF"/>
        <w:spacing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 xml:space="preserve">2012 </w:t>
      </w:r>
      <w:r w:rsidRPr="00050C91">
        <w:rPr>
          <w:rFonts w:ascii="Verdana" w:hAnsi="Verdana" w:cs="新細明體"/>
          <w:color w:val="666666"/>
          <w:kern w:val="0"/>
          <w:sz w:val="20"/>
          <w:szCs w:val="20"/>
        </w:rPr>
        <w:t>年</w:t>
      </w:r>
      <w:r w:rsidRPr="00050C91">
        <w:rPr>
          <w:rFonts w:ascii="inherit" w:hAnsi="inherit" w:cs="新細明體"/>
          <w:color w:val="666666"/>
          <w:kern w:val="0"/>
          <w:sz w:val="20"/>
          <w:szCs w:val="20"/>
          <w:bdr w:val="none" w:sz="0" w:space="0" w:color="auto" w:frame="1"/>
        </w:rPr>
        <w:t>12</w:t>
      </w:r>
      <w:r w:rsidRPr="00050C91">
        <w:rPr>
          <w:rFonts w:ascii="inherit" w:hAnsi="inherit" w:cs="新細明體"/>
          <w:color w:val="666666"/>
          <w:kern w:val="0"/>
          <w:sz w:val="20"/>
        </w:rPr>
        <w:t> </w:t>
      </w:r>
      <w:r w:rsidRPr="00050C91">
        <w:rPr>
          <w:rFonts w:ascii="Verdana" w:hAnsi="Verdana" w:cs="新細明體"/>
          <w:color w:val="666666"/>
          <w:kern w:val="0"/>
          <w:sz w:val="20"/>
          <w:szCs w:val="20"/>
        </w:rPr>
        <w:t>月</w:t>
      </w:r>
      <w:r w:rsidRPr="00050C91">
        <w:rPr>
          <w:rFonts w:ascii="inherit" w:hAnsi="inherit" w:cs="新細明體"/>
          <w:color w:val="666666"/>
          <w:kern w:val="0"/>
          <w:sz w:val="20"/>
          <w:szCs w:val="20"/>
          <w:bdr w:val="none" w:sz="0" w:space="0" w:color="auto" w:frame="1"/>
        </w:rPr>
        <w:t>17</w:t>
      </w:r>
      <w:r w:rsidRPr="00050C91">
        <w:rPr>
          <w:rFonts w:ascii="inherit" w:hAnsi="inherit" w:cs="新細明體"/>
          <w:color w:val="666666"/>
          <w:kern w:val="0"/>
          <w:sz w:val="20"/>
        </w:rPr>
        <w:t> </w:t>
      </w:r>
      <w:r w:rsidRPr="00050C91">
        <w:rPr>
          <w:rFonts w:ascii="Verdana" w:hAnsi="Verdana" w:cs="新細明體"/>
          <w:color w:val="666666"/>
          <w:kern w:val="0"/>
          <w:sz w:val="20"/>
          <w:szCs w:val="20"/>
        </w:rPr>
        <w:t>日</w:t>
      </w:r>
    </w:p>
    <w:p w:rsidR="00050C91" w:rsidRPr="00050C91" w:rsidRDefault="00050C91" w:rsidP="00050C91">
      <w:pPr>
        <w:widowControl/>
        <w:shd w:val="clear" w:color="auto" w:fill="FFFFFF"/>
        <w:spacing w:before="204" w:after="204" w:line="336" w:lineRule="atLeast"/>
        <w:textAlignment w:val="baseline"/>
        <w:rPr>
          <w:rFonts w:ascii="Verdana" w:hAnsi="Verdana" w:cs="新細明體"/>
          <w:color w:val="666666"/>
          <w:kern w:val="0"/>
          <w:sz w:val="20"/>
          <w:szCs w:val="20"/>
        </w:rPr>
      </w:pPr>
      <w:r w:rsidRPr="00050C91">
        <w:rPr>
          <w:rFonts w:ascii="Verdana" w:hAnsi="Verdana" w:cs="新細明體"/>
          <w:color w:val="666666"/>
          <w:kern w:val="0"/>
          <w:sz w:val="20"/>
          <w:szCs w:val="20"/>
        </w:rPr>
        <w:t>完</w:t>
      </w:r>
    </w:p>
    <w:p w:rsidR="00050C91" w:rsidRPr="00050C91" w:rsidRDefault="00050C91" w:rsidP="00050C91"/>
    <w:sectPr w:rsidR="00050C91" w:rsidRPr="00050C91" w:rsidSect="002214B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087" w:rsidRDefault="00295087" w:rsidP="00213CE4">
      <w:r>
        <w:separator/>
      </w:r>
    </w:p>
  </w:endnote>
  <w:endnote w:type="continuationSeparator" w:id="0">
    <w:p w:rsidR="00295087" w:rsidRDefault="00295087" w:rsidP="0021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087" w:rsidRDefault="00295087" w:rsidP="00213CE4">
      <w:r>
        <w:separator/>
      </w:r>
    </w:p>
  </w:footnote>
  <w:footnote w:type="continuationSeparator" w:id="0">
    <w:p w:rsidR="00295087" w:rsidRDefault="00295087" w:rsidP="00213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4D1E"/>
    <w:multiLevelType w:val="multilevel"/>
    <w:tmpl w:val="83828B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9B2CF5"/>
    <w:multiLevelType w:val="multilevel"/>
    <w:tmpl w:val="7C008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0C91"/>
    <w:rsid w:val="00050C91"/>
    <w:rsid w:val="00213CE4"/>
    <w:rsid w:val="002214BE"/>
    <w:rsid w:val="00295087"/>
    <w:rsid w:val="00AF4E2A"/>
    <w:rsid w:val="00D22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E2A"/>
    <w:pPr>
      <w:widowControl w:val="0"/>
    </w:pPr>
    <w:rPr>
      <w:kern w:val="2"/>
      <w:sz w:val="24"/>
      <w:szCs w:val="22"/>
    </w:rPr>
  </w:style>
  <w:style w:type="paragraph" w:styleId="1">
    <w:name w:val="heading 1"/>
    <w:basedOn w:val="a"/>
    <w:link w:val="10"/>
    <w:uiPriority w:val="9"/>
    <w:qFormat/>
    <w:rsid w:val="00AF4E2A"/>
    <w:pPr>
      <w:widowControl/>
      <w:spacing w:before="161" w:after="161"/>
      <w:outlineLvl w:val="0"/>
    </w:pPr>
    <w:rPr>
      <w:rFonts w:ascii="Cambria" w:hAnsi="Cambria"/>
      <w:b/>
      <w:bCs/>
      <w:kern w:val="32"/>
      <w:sz w:val="32"/>
      <w:szCs w:val="32"/>
    </w:rPr>
  </w:style>
  <w:style w:type="paragraph" w:styleId="3">
    <w:name w:val="heading 3"/>
    <w:basedOn w:val="a"/>
    <w:next w:val="a"/>
    <w:link w:val="30"/>
    <w:uiPriority w:val="9"/>
    <w:unhideWhenUsed/>
    <w:qFormat/>
    <w:rsid w:val="00AF4E2A"/>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F4E2A"/>
    <w:rPr>
      <w:rFonts w:ascii="Cambria" w:eastAsia="新細明體" w:hAnsi="Cambria" w:cs="Times New Roman"/>
      <w:b/>
      <w:bCs/>
      <w:kern w:val="32"/>
      <w:sz w:val="32"/>
      <w:szCs w:val="32"/>
      <w:lang w:eastAsia="zh-TW"/>
    </w:rPr>
  </w:style>
  <w:style w:type="character" w:customStyle="1" w:styleId="30">
    <w:name w:val="標題 3 字元"/>
    <w:basedOn w:val="a0"/>
    <w:link w:val="3"/>
    <w:uiPriority w:val="9"/>
    <w:rsid w:val="00AF4E2A"/>
    <w:rPr>
      <w:rFonts w:asciiTheme="majorHAnsi" w:eastAsiaTheme="majorEastAsia" w:hAnsiTheme="majorHAnsi" w:cstheme="majorBidi"/>
      <w:b/>
      <w:bCs/>
      <w:kern w:val="2"/>
      <w:sz w:val="36"/>
      <w:szCs w:val="36"/>
    </w:rPr>
  </w:style>
  <w:style w:type="paragraph" w:styleId="11">
    <w:name w:val="toc 1"/>
    <w:basedOn w:val="a"/>
    <w:next w:val="a"/>
    <w:autoRedefine/>
    <w:uiPriority w:val="39"/>
    <w:unhideWhenUsed/>
    <w:qFormat/>
    <w:rsid w:val="00AF4E2A"/>
  </w:style>
  <w:style w:type="paragraph" w:styleId="2">
    <w:name w:val="toc 2"/>
    <w:basedOn w:val="a"/>
    <w:next w:val="a"/>
    <w:autoRedefine/>
    <w:uiPriority w:val="39"/>
    <w:semiHidden/>
    <w:unhideWhenUsed/>
    <w:qFormat/>
    <w:rsid w:val="00AF4E2A"/>
    <w:pPr>
      <w:widowControl/>
      <w:spacing w:after="100" w:line="276" w:lineRule="auto"/>
      <w:ind w:left="220"/>
    </w:pPr>
    <w:rPr>
      <w:rFonts w:asciiTheme="minorHAnsi" w:eastAsiaTheme="minorEastAsia" w:hAnsiTheme="minorHAnsi" w:cstheme="minorBidi"/>
      <w:kern w:val="0"/>
      <w:sz w:val="22"/>
      <w:lang w:eastAsia="zh-HK"/>
    </w:rPr>
  </w:style>
  <w:style w:type="paragraph" w:styleId="31">
    <w:name w:val="toc 3"/>
    <w:basedOn w:val="a"/>
    <w:next w:val="a"/>
    <w:autoRedefine/>
    <w:uiPriority w:val="39"/>
    <w:semiHidden/>
    <w:unhideWhenUsed/>
    <w:qFormat/>
    <w:rsid w:val="00AF4E2A"/>
    <w:pPr>
      <w:widowControl/>
      <w:spacing w:after="100" w:line="276" w:lineRule="auto"/>
      <w:ind w:left="440"/>
    </w:pPr>
    <w:rPr>
      <w:rFonts w:asciiTheme="minorHAnsi" w:eastAsiaTheme="minorEastAsia" w:hAnsiTheme="minorHAnsi" w:cstheme="minorBidi"/>
      <w:kern w:val="0"/>
      <w:sz w:val="22"/>
      <w:lang w:eastAsia="zh-HK"/>
    </w:rPr>
  </w:style>
  <w:style w:type="paragraph" w:styleId="a3">
    <w:name w:val="Title"/>
    <w:basedOn w:val="a"/>
    <w:next w:val="a"/>
    <w:link w:val="a4"/>
    <w:uiPriority w:val="10"/>
    <w:qFormat/>
    <w:rsid w:val="00AF4E2A"/>
    <w:pPr>
      <w:spacing w:before="240" w:after="60"/>
      <w:jc w:val="center"/>
      <w:outlineLvl w:val="0"/>
    </w:pPr>
    <w:rPr>
      <w:rFonts w:ascii="Cambria" w:hAnsi="Cambria"/>
      <w:b/>
      <w:bCs/>
      <w:sz w:val="32"/>
      <w:szCs w:val="32"/>
    </w:rPr>
  </w:style>
  <w:style w:type="character" w:customStyle="1" w:styleId="a4">
    <w:name w:val="標題 字元"/>
    <w:basedOn w:val="a0"/>
    <w:link w:val="a3"/>
    <w:uiPriority w:val="10"/>
    <w:rsid w:val="00AF4E2A"/>
    <w:rPr>
      <w:rFonts w:ascii="Cambria" w:hAnsi="Cambria" w:cs="Times New Roman"/>
      <w:b/>
      <w:bCs/>
      <w:kern w:val="2"/>
      <w:sz w:val="32"/>
      <w:szCs w:val="32"/>
    </w:rPr>
  </w:style>
  <w:style w:type="character" w:styleId="a5">
    <w:name w:val="Strong"/>
    <w:basedOn w:val="a0"/>
    <w:uiPriority w:val="99"/>
    <w:qFormat/>
    <w:rsid w:val="00AF4E2A"/>
    <w:rPr>
      <w:rFonts w:cs="Times New Roman"/>
      <w:b/>
      <w:bCs/>
    </w:rPr>
  </w:style>
  <w:style w:type="paragraph" w:styleId="a6">
    <w:name w:val="TOC Heading"/>
    <w:basedOn w:val="1"/>
    <w:next w:val="a"/>
    <w:uiPriority w:val="39"/>
    <w:unhideWhenUsed/>
    <w:qFormat/>
    <w:rsid w:val="00AF4E2A"/>
    <w:pPr>
      <w:keepNext/>
      <w:keepLines/>
      <w:spacing w:before="480" w:after="0" w:line="276" w:lineRule="auto"/>
      <w:outlineLvl w:val="9"/>
    </w:pPr>
    <w:rPr>
      <w:color w:val="365F91"/>
      <w:kern w:val="0"/>
      <w:sz w:val="28"/>
      <w:szCs w:val="28"/>
      <w:lang w:eastAsia="zh-HK"/>
    </w:rPr>
  </w:style>
  <w:style w:type="paragraph" w:styleId="Web">
    <w:name w:val="Normal (Web)"/>
    <w:basedOn w:val="a"/>
    <w:uiPriority w:val="99"/>
    <w:semiHidden/>
    <w:unhideWhenUsed/>
    <w:rsid w:val="00050C91"/>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basedOn w:val="a0"/>
    <w:rsid w:val="00050C91"/>
  </w:style>
  <w:style w:type="paragraph" w:styleId="a7">
    <w:name w:val="header"/>
    <w:basedOn w:val="a"/>
    <w:link w:val="a8"/>
    <w:uiPriority w:val="99"/>
    <w:unhideWhenUsed/>
    <w:rsid w:val="00213CE4"/>
    <w:pPr>
      <w:tabs>
        <w:tab w:val="center" w:pos="4153"/>
        <w:tab w:val="right" w:pos="8306"/>
      </w:tabs>
      <w:snapToGrid w:val="0"/>
    </w:pPr>
    <w:rPr>
      <w:sz w:val="20"/>
      <w:szCs w:val="20"/>
    </w:rPr>
  </w:style>
  <w:style w:type="character" w:customStyle="1" w:styleId="a8">
    <w:name w:val="頁首 字元"/>
    <w:basedOn w:val="a0"/>
    <w:link w:val="a7"/>
    <w:uiPriority w:val="99"/>
    <w:rsid w:val="00213CE4"/>
    <w:rPr>
      <w:kern w:val="2"/>
    </w:rPr>
  </w:style>
  <w:style w:type="paragraph" w:styleId="a9">
    <w:name w:val="footer"/>
    <w:basedOn w:val="a"/>
    <w:link w:val="aa"/>
    <w:uiPriority w:val="99"/>
    <w:unhideWhenUsed/>
    <w:rsid w:val="00213CE4"/>
    <w:pPr>
      <w:tabs>
        <w:tab w:val="center" w:pos="4153"/>
        <w:tab w:val="right" w:pos="8306"/>
      </w:tabs>
      <w:snapToGrid w:val="0"/>
    </w:pPr>
    <w:rPr>
      <w:sz w:val="20"/>
      <w:szCs w:val="20"/>
    </w:rPr>
  </w:style>
  <w:style w:type="character" w:customStyle="1" w:styleId="aa">
    <w:name w:val="頁尾 字元"/>
    <w:basedOn w:val="a0"/>
    <w:link w:val="a9"/>
    <w:uiPriority w:val="99"/>
    <w:rsid w:val="00213CE4"/>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2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597</Words>
  <Characters>3408</Characters>
  <Application>Microsoft Office Word</Application>
  <DocSecurity>0</DocSecurity>
  <Lines>28</Lines>
  <Paragraphs>7</Paragraphs>
  <ScaleCrop>false</ScaleCrop>
  <Company>Microsoft</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dc:creator>
  <cp:lastModifiedBy>Albert So</cp:lastModifiedBy>
  <cp:revision>2</cp:revision>
  <dcterms:created xsi:type="dcterms:W3CDTF">2016-01-25T08:38:00Z</dcterms:created>
  <dcterms:modified xsi:type="dcterms:W3CDTF">2016-01-27T01:33:00Z</dcterms:modified>
</cp:coreProperties>
</file>