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E0A" w:rsidRDefault="00901E0A" w:rsidP="00901E0A">
      <w:pPr>
        <w:widowControl/>
        <w:outlineLvl w:val="2"/>
        <w:rPr>
          <w:rFonts w:asciiTheme="majorEastAsia" w:eastAsiaTheme="majorEastAsia" w:hAnsiTheme="majorEastAsia" w:cs="新細明體"/>
          <w:b/>
          <w:bCs/>
          <w:color w:val="000000"/>
          <w:kern w:val="0"/>
          <w:szCs w:val="24"/>
          <w:lang w:eastAsia="zh-HK"/>
        </w:rPr>
      </w:pPr>
      <w:r w:rsidRPr="00901E0A">
        <w:rPr>
          <w:rFonts w:asciiTheme="majorEastAsia" w:eastAsiaTheme="majorEastAsia" w:hAnsiTheme="majorEastAsia" w:cs="新細明體"/>
          <w:b/>
          <w:bCs/>
          <w:color w:val="000000"/>
          <w:kern w:val="0"/>
          <w:szCs w:val="24"/>
        </w:rPr>
        <w:t>《研倡點滴》第四期 (十月號)</w:t>
      </w:r>
      <w:r>
        <w:rPr>
          <w:rFonts w:asciiTheme="majorEastAsia" w:eastAsiaTheme="majorEastAsia" w:hAnsiTheme="majorEastAsia" w:cs="新細明體" w:hint="eastAsia"/>
          <w:b/>
          <w:bCs/>
          <w:color w:val="000000"/>
          <w:kern w:val="0"/>
          <w:szCs w:val="24"/>
          <w:lang w:eastAsia="zh-HK"/>
        </w:rPr>
        <w:t xml:space="preserve"> </w:t>
      </w:r>
    </w:p>
    <w:p w:rsidR="00901E0A" w:rsidRDefault="00901E0A" w:rsidP="00901E0A">
      <w:pPr>
        <w:widowControl/>
        <w:outlineLvl w:val="2"/>
        <w:rPr>
          <w:rFonts w:asciiTheme="majorEastAsia" w:eastAsiaTheme="majorEastAsia" w:hAnsiTheme="majorEastAsia" w:cs="新細明體"/>
          <w:b/>
          <w:bCs/>
          <w:color w:val="000000"/>
          <w:kern w:val="0"/>
          <w:szCs w:val="24"/>
          <w:lang w:eastAsia="zh-HK"/>
        </w:rPr>
      </w:pPr>
    </w:p>
    <w:p w:rsidR="00901E0A" w:rsidRPr="00901E0A" w:rsidRDefault="00901E0A" w:rsidP="00901E0A">
      <w:pPr>
        <w:widowControl/>
        <w:outlineLvl w:val="2"/>
        <w:rPr>
          <w:rFonts w:asciiTheme="majorEastAsia" w:eastAsiaTheme="majorEastAsia" w:hAnsiTheme="majorEastAsia" w:cs="新細明體"/>
          <w:b/>
          <w:bCs/>
          <w:color w:val="000000"/>
          <w:kern w:val="0"/>
          <w:szCs w:val="24"/>
          <w:lang w:eastAsia="zh-HK"/>
        </w:rPr>
      </w:pPr>
    </w:p>
    <w:tbl>
      <w:tblPr>
        <w:tblW w:w="10909" w:type="dxa"/>
        <w:tblCellSpacing w:w="0" w:type="dxa"/>
        <w:tblCellMar>
          <w:top w:w="15" w:type="dxa"/>
          <w:left w:w="15" w:type="dxa"/>
          <w:bottom w:w="15" w:type="dxa"/>
          <w:right w:w="15" w:type="dxa"/>
        </w:tblCellMar>
        <w:tblLook w:val="04A0"/>
      </w:tblPr>
      <w:tblGrid>
        <w:gridCol w:w="10909"/>
      </w:tblGrid>
      <w:tr w:rsidR="00901E0A" w:rsidRPr="00901E0A" w:rsidTr="00901E0A">
        <w:trPr>
          <w:tblCellSpacing w:w="0" w:type="dxa"/>
        </w:trPr>
        <w:tc>
          <w:tcPr>
            <w:tcW w:w="0" w:type="auto"/>
            <w:tcMar>
              <w:top w:w="136" w:type="dxa"/>
              <w:left w:w="136" w:type="dxa"/>
              <w:bottom w:w="136" w:type="dxa"/>
              <w:right w:w="136" w:type="dxa"/>
            </w:tcMar>
            <w:hideMark/>
          </w:tcPr>
          <w:p w:rsidR="00901E0A" w:rsidRPr="00C4064D" w:rsidRDefault="00901E0A" w:rsidP="00901E0A">
            <w:pPr>
              <w:widowControl/>
              <w:spacing w:before="100" w:beforeAutospacing="1" w:after="100" w:afterAutospacing="1"/>
              <w:jc w:val="center"/>
              <w:rPr>
                <w:rFonts w:asciiTheme="majorEastAsia" w:eastAsiaTheme="majorEastAsia" w:hAnsiTheme="majorEastAsia" w:cs="新細明體"/>
                <w:b/>
                <w:kern w:val="0"/>
                <w:sz w:val="28"/>
                <w:szCs w:val="28"/>
              </w:rPr>
            </w:pPr>
            <w:r w:rsidRPr="00C4064D">
              <w:rPr>
                <w:rFonts w:asciiTheme="majorEastAsia" w:eastAsiaTheme="majorEastAsia" w:hAnsiTheme="majorEastAsia" w:cs="新細明體" w:hint="eastAsia"/>
                <w:b/>
                <w:bCs/>
                <w:kern w:val="0"/>
                <w:sz w:val="28"/>
                <w:szCs w:val="28"/>
              </w:rPr>
              <w:t>香港復康會</w:t>
            </w:r>
            <w:r w:rsidRPr="00C4064D">
              <w:rPr>
                <w:rFonts w:asciiTheme="majorEastAsia" w:eastAsiaTheme="majorEastAsia" w:hAnsiTheme="majorEastAsia" w:cs="新細明體"/>
                <w:b/>
                <w:bCs/>
                <w:kern w:val="0"/>
                <w:sz w:val="28"/>
                <w:szCs w:val="28"/>
              </w:rPr>
              <w:t> </w:t>
            </w:r>
            <w:r w:rsidRPr="00C4064D">
              <w:rPr>
                <w:rFonts w:asciiTheme="majorEastAsia" w:eastAsiaTheme="majorEastAsia" w:hAnsiTheme="majorEastAsia" w:cs="新細明體" w:hint="eastAsia"/>
                <w:b/>
                <w:bCs/>
                <w:kern w:val="0"/>
                <w:sz w:val="28"/>
                <w:szCs w:val="28"/>
              </w:rPr>
              <w:t>研究及倡議中心</w:t>
            </w:r>
          </w:p>
          <w:p w:rsidR="00901E0A" w:rsidRPr="00C4064D" w:rsidRDefault="00901E0A" w:rsidP="00901E0A">
            <w:pPr>
              <w:widowControl/>
              <w:spacing w:before="100" w:beforeAutospacing="1" w:after="100" w:afterAutospacing="1"/>
              <w:jc w:val="center"/>
              <w:rPr>
                <w:rFonts w:asciiTheme="majorEastAsia" w:eastAsiaTheme="majorEastAsia" w:hAnsiTheme="majorEastAsia" w:cs="新細明體"/>
                <w:b/>
                <w:kern w:val="0"/>
                <w:sz w:val="28"/>
                <w:szCs w:val="28"/>
              </w:rPr>
            </w:pPr>
            <w:r w:rsidRPr="00C4064D">
              <w:rPr>
                <w:rFonts w:asciiTheme="majorEastAsia" w:eastAsiaTheme="majorEastAsia" w:hAnsiTheme="majorEastAsia" w:cs="新細明體" w:hint="eastAsia"/>
                <w:b/>
                <w:bCs/>
                <w:kern w:val="0"/>
                <w:sz w:val="28"/>
                <w:szCs w:val="28"/>
              </w:rPr>
              <w:t>研究及倡議中心通訊《研倡點滴》第四期</w:t>
            </w:r>
          </w:p>
          <w:p w:rsidR="00901E0A" w:rsidRPr="00C4064D" w:rsidRDefault="00901E0A" w:rsidP="00901E0A">
            <w:pPr>
              <w:widowControl/>
              <w:wordWrap w:val="0"/>
              <w:spacing w:before="100" w:beforeAutospacing="1" w:after="100" w:afterAutospacing="1"/>
              <w:jc w:val="center"/>
              <w:rPr>
                <w:rFonts w:asciiTheme="majorEastAsia" w:eastAsiaTheme="majorEastAsia" w:hAnsiTheme="majorEastAsia" w:cs="新細明體"/>
                <w:b/>
                <w:kern w:val="0"/>
                <w:sz w:val="28"/>
                <w:szCs w:val="28"/>
              </w:rPr>
            </w:pPr>
            <w:r w:rsidRPr="00C4064D">
              <w:rPr>
                <w:rFonts w:asciiTheme="majorEastAsia" w:eastAsiaTheme="majorEastAsia" w:hAnsiTheme="majorEastAsia" w:cs="新細明體" w:hint="eastAsia"/>
                <w:b/>
                <w:bCs/>
                <w:kern w:val="0"/>
                <w:sz w:val="28"/>
                <w:szCs w:val="28"/>
              </w:rPr>
              <w:t>二零一三年十月</w:t>
            </w:r>
          </w:p>
          <w:p w:rsidR="00901E0A" w:rsidRPr="00901E0A" w:rsidRDefault="00901E0A" w:rsidP="00901E0A">
            <w:pPr>
              <w:widowControl/>
              <w:spacing w:before="100" w:beforeAutospacing="1" w:after="100" w:afterAutospacing="1"/>
              <w:rPr>
                <w:rFonts w:asciiTheme="majorEastAsia" w:eastAsiaTheme="majorEastAsia" w:hAnsiTheme="majorEastAsia" w:cs="新細明體"/>
                <w:b/>
                <w:kern w:val="0"/>
                <w:szCs w:val="24"/>
              </w:rPr>
            </w:pPr>
            <w:r w:rsidRPr="00901E0A">
              <w:rPr>
                <w:rFonts w:asciiTheme="majorEastAsia" w:eastAsiaTheme="majorEastAsia" w:hAnsiTheme="majorEastAsia" w:cs="新細明體" w:hint="eastAsia"/>
                <w:b/>
                <w:bCs/>
                <w:kern w:val="0"/>
                <w:szCs w:val="24"/>
              </w:rPr>
              <w:t>研究簡報</w:t>
            </w:r>
          </w:p>
          <w:p w:rsidR="00901E0A" w:rsidRPr="00901E0A" w:rsidRDefault="00901E0A" w:rsidP="00901E0A">
            <w:pPr>
              <w:widowControl/>
              <w:spacing w:before="100" w:beforeAutospacing="1" w:after="100" w:afterAutospacing="1"/>
              <w:rPr>
                <w:rFonts w:asciiTheme="majorEastAsia" w:eastAsiaTheme="majorEastAsia" w:hAnsiTheme="majorEastAsia" w:cs="新細明體"/>
                <w:kern w:val="0"/>
                <w:szCs w:val="24"/>
              </w:rPr>
            </w:pPr>
            <w:r w:rsidRPr="00901E0A">
              <w:rPr>
                <w:rFonts w:asciiTheme="majorEastAsia" w:eastAsiaTheme="majorEastAsia" w:hAnsiTheme="majorEastAsia" w:cs="新細明體"/>
                <w:bCs/>
                <w:kern w:val="0"/>
                <w:szCs w:val="24"/>
              </w:rPr>
              <w:t> </w:t>
            </w:r>
          </w:p>
          <w:p w:rsidR="00901E0A" w:rsidRPr="00901E0A" w:rsidRDefault="00901E0A" w:rsidP="00901E0A">
            <w:pPr>
              <w:widowControl/>
              <w:spacing w:before="100" w:beforeAutospacing="1" w:after="100" w:afterAutospacing="1"/>
              <w:jc w:val="center"/>
              <w:rPr>
                <w:rFonts w:asciiTheme="majorEastAsia" w:eastAsiaTheme="majorEastAsia" w:hAnsiTheme="majorEastAsia" w:cs="新細明體"/>
                <w:b/>
                <w:kern w:val="0"/>
                <w:szCs w:val="24"/>
              </w:rPr>
            </w:pPr>
            <w:r w:rsidRPr="00901E0A">
              <w:rPr>
                <w:rFonts w:asciiTheme="majorEastAsia" w:eastAsiaTheme="majorEastAsia" w:hAnsiTheme="majorEastAsia" w:cs="新細明體" w:hint="eastAsia"/>
                <w:b/>
                <w:bCs/>
                <w:kern w:val="0"/>
                <w:szCs w:val="24"/>
              </w:rPr>
              <w:t>扶貧、治病、縮減社會不均</w:t>
            </w:r>
            <w:r w:rsidRPr="00901E0A">
              <w:rPr>
                <w:rFonts w:asciiTheme="majorEastAsia" w:eastAsiaTheme="majorEastAsia" w:hAnsiTheme="majorEastAsia" w:cs="新細明體"/>
                <w:b/>
                <w:bCs/>
                <w:kern w:val="0"/>
                <w:szCs w:val="24"/>
              </w:rPr>
              <w:t>: </w:t>
            </w:r>
            <w:r w:rsidRPr="00901E0A">
              <w:rPr>
                <w:rFonts w:asciiTheme="majorEastAsia" w:eastAsiaTheme="majorEastAsia" w:hAnsiTheme="majorEastAsia" w:cs="新細明體" w:hint="eastAsia"/>
                <w:b/>
                <w:bCs/>
                <w:kern w:val="0"/>
                <w:szCs w:val="24"/>
              </w:rPr>
              <w:t>長期病患者及家屬的情緒健康</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hint="eastAsia"/>
                <w:kern w:val="0"/>
                <w:szCs w:val="24"/>
              </w:rPr>
              <w:t>根據傳媒報導，近月接連有長期病患者懷疑因病輕生，令人關注到長期病患者所承受的壓力及情緒健康問題。另一方面，長期病患者及其家屬亦會因為長期病患的緣故而影響家庭經濟，引致社會貧富不均的情況。</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 </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hint="eastAsia"/>
                <w:kern w:val="0"/>
                <w:szCs w:val="24"/>
              </w:rPr>
              <w:t>為關注長期病患者的情緒健康及家庭經濟狀況，香港復康會（研究及倡議中心、社區復康網絡大興中心）和香港中文大學公共衞生及基層醫療學院於二零一二年五月至二零一三年一月於新界西區進行了「長期病患者及家屬－情緒健康與經濟狀況」的調查，並於本年十月二日舉辦了新聞發佈會，分享是次研究的成果。我們當天邀得香港中文大學賽馬會公共衞生及基層醫療學院黃仰山教授分享相關的專業意見，與及病患者的分享。</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 </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hint="eastAsia"/>
                <w:kern w:val="0"/>
                <w:szCs w:val="24"/>
              </w:rPr>
              <w:t>調查共訪問了</w:t>
            </w:r>
            <w:r w:rsidRPr="00901E0A">
              <w:rPr>
                <w:rFonts w:asciiTheme="majorEastAsia" w:eastAsiaTheme="majorEastAsia" w:hAnsiTheme="majorEastAsia" w:cs="新細明體"/>
                <w:kern w:val="0"/>
                <w:szCs w:val="24"/>
              </w:rPr>
              <w:t>412</w:t>
            </w:r>
            <w:r w:rsidRPr="00901E0A">
              <w:rPr>
                <w:rFonts w:asciiTheme="majorEastAsia" w:eastAsiaTheme="majorEastAsia" w:hAnsiTheme="majorEastAsia" w:cs="新細明體" w:hint="eastAsia"/>
                <w:kern w:val="0"/>
                <w:szCs w:val="24"/>
              </w:rPr>
              <w:t>名新界西區的長期病患者和家屬。</w:t>
            </w:r>
            <w:r w:rsidRPr="00901E0A">
              <w:rPr>
                <w:rFonts w:asciiTheme="majorEastAsia" w:eastAsiaTheme="majorEastAsia" w:hAnsiTheme="majorEastAsia" w:cs="新細明體"/>
                <w:kern w:val="0"/>
                <w:szCs w:val="24"/>
              </w:rPr>
              <w:t>53%</w:t>
            </w:r>
            <w:r w:rsidRPr="00901E0A">
              <w:rPr>
                <w:rFonts w:asciiTheme="majorEastAsia" w:eastAsiaTheme="majorEastAsia" w:hAnsiTheme="majorEastAsia" w:cs="新細明體" w:hint="eastAsia"/>
                <w:kern w:val="0"/>
                <w:szCs w:val="24"/>
              </w:rPr>
              <w:t>受訪者是長期病患者，</w:t>
            </w:r>
            <w:r w:rsidRPr="00901E0A">
              <w:rPr>
                <w:rFonts w:asciiTheme="majorEastAsia" w:eastAsiaTheme="majorEastAsia" w:hAnsiTheme="majorEastAsia" w:cs="新細明體"/>
                <w:kern w:val="0"/>
                <w:szCs w:val="24"/>
              </w:rPr>
              <w:t>29%</w:t>
            </w:r>
            <w:r w:rsidRPr="00901E0A">
              <w:rPr>
                <w:rFonts w:asciiTheme="majorEastAsia" w:eastAsiaTheme="majorEastAsia" w:hAnsiTheme="majorEastAsia" w:cs="新細明體" w:hint="eastAsia"/>
                <w:kern w:val="0"/>
                <w:szCs w:val="24"/>
              </w:rPr>
              <w:t>受訪者是照顧者，其餘</w:t>
            </w:r>
            <w:r w:rsidRPr="00901E0A">
              <w:rPr>
                <w:rFonts w:asciiTheme="majorEastAsia" w:eastAsiaTheme="majorEastAsia" w:hAnsiTheme="majorEastAsia" w:cs="新細明體"/>
                <w:kern w:val="0"/>
                <w:szCs w:val="24"/>
              </w:rPr>
              <w:t>18%</w:t>
            </w:r>
            <w:r w:rsidRPr="00901E0A">
              <w:rPr>
                <w:rFonts w:asciiTheme="majorEastAsia" w:eastAsiaTheme="majorEastAsia" w:hAnsiTheme="majorEastAsia" w:cs="新細明體" w:hint="eastAsia"/>
                <w:kern w:val="0"/>
                <w:szCs w:val="24"/>
              </w:rPr>
              <w:t>則身兼長期病患者及照顧者身份。在情緒健康方面，長期病患者及家屬的情緒健康狀況較差，超過一半</w:t>
            </w:r>
            <w:r w:rsidRPr="00901E0A">
              <w:rPr>
                <w:rFonts w:asciiTheme="majorEastAsia" w:eastAsiaTheme="majorEastAsia" w:hAnsiTheme="majorEastAsia" w:cs="新細明體"/>
                <w:kern w:val="0"/>
                <w:szCs w:val="24"/>
              </w:rPr>
              <w:t>(52.4%)</w:t>
            </w:r>
            <w:r w:rsidRPr="00901E0A">
              <w:rPr>
                <w:rFonts w:asciiTheme="majorEastAsia" w:eastAsiaTheme="majorEastAsia" w:hAnsiTheme="majorEastAsia" w:cs="新細明體" w:hint="eastAsia"/>
                <w:kern w:val="0"/>
                <w:szCs w:val="24"/>
              </w:rPr>
              <w:t>受訪者顯示出不同程度的情緒健康問題徵狀。另外，身兼長期病患者及照顧者身份的受訪者，其抑鬱和焦慮的徵</w:t>
            </w:r>
            <w:proofErr w:type="gramStart"/>
            <w:r w:rsidRPr="00901E0A">
              <w:rPr>
                <w:rFonts w:asciiTheme="majorEastAsia" w:eastAsiaTheme="majorEastAsia" w:hAnsiTheme="majorEastAsia" w:cs="新細明體" w:hint="eastAsia"/>
                <w:kern w:val="0"/>
                <w:szCs w:val="24"/>
              </w:rPr>
              <w:t>狀亦較身</w:t>
            </w:r>
            <w:proofErr w:type="gramEnd"/>
            <w:r w:rsidRPr="00901E0A">
              <w:rPr>
                <w:rFonts w:asciiTheme="majorEastAsia" w:eastAsiaTheme="majorEastAsia" w:hAnsiTheme="majorEastAsia" w:cs="新細明體" w:hint="eastAsia"/>
                <w:kern w:val="0"/>
                <w:szCs w:val="24"/>
              </w:rPr>
              <w:t>為病人或照顧者的受訪者嚴重。而接近六成照顧者顯示出顯著的照顧者壓力。</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 </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hint="eastAsia"/>
                <w:kern w:val="0"/>
                <w:szCs w:val="24"/>
              </w:rPr>
              <w:t>另一方面，受訪者的經濟狀況亦不理想。受訪者中只有</w:t>
            </w:r>
            <w:r w:rsidRPr="00901E0A">
              <w:rPr>
                <w:rFonts w:asciiTheme="majorEastAsia" w:eastAsiaTheme="majorEastAsia" w:hAnsiTheme="majorEastAsia" w:cs="新細明體"/>
                <w:kern w:val="0"/>
                <w:szCs w:val="24"/>
              </w:rPr>
              <w:t>22%</w:t>
            </w:r>
            <w:r w:rsidRPr="00901E0A">
              <w:rPr>
                <w:rFonts w:asciiTheme="majorEastAsia" w:eastAsiaTheme="majorEastAsia" w:hAnsiTheme="majorEastAsia" w:cs="新細明體" w:hint="eastAsia"/>
                <w:kern w:val="0"/>
                <w:szCs w:val="24"/>
              </w:rPr>
              <w:t>從事全職工作及</w:t>
            </w:r>
            <w:r w:rsidRPr="00901E0A">
              <w:rPr>
                <w:rFonts w:asciiTheme="majorEastAsia" w:eastAsiaTheme="majorEastAsia" w:hAnsiTheme="majorEastAsia" w:cs="新細明體"/>
                <w:kern w:val="0"/>
                <w:szCs w:val="24"/>
              </w:rPr>
              <w:t>8%</w:t>
            </w:r>
            <w:r w:rsidRPr="00901E0A">
              <w:rPr>
                <w:rFonts w:asciiTheme="majorEastAsia" w:eastAsiaTheme="majorEastAsia" w:hAnsiTheme="majorEastAsia" w:cs="新細明體" w:hint="eastAsia"/>
                <w:kern w:val="0"/>
                <w:szCs w:val="24"/>
              </w:rPr>
              <w:t>從事兼職工作，平均個人每月入息中位數為</w:t>
            </w:r>
            <w:r w:rsidRPr="00901E0A">
              <w:rPr>
                <w:rFonts w:asciiTheme="majorEastAsia" w:eastAsiaTheme="majorEastAsia" w:hAnsiTheme="majorEastAsia" w:cs="新細明體"/>
                <w:kern w:val="0"/>
                <w:szCs w:val="24"/>
              </w:rPr>
              <w:t>$ 3,000</w:t>
            </w:r>
            <w:r w:rsidRPr="00901E0A">
              <w:rPr>
                <w:rFonts w:asciiTheme="majorEastAsia" w:eastAsiaTheme="majorEastAsia" w:hAnsiTheme="majorEastAsia" w:cs="新細明體" w:hint="eastAsia"/>
                <w:kern w:val="0"/>
                <w:szCs w:val="24"/>
              </w:rPr>
              <w:t>，遠低於全港個人每月入息中位數之</w:t>
            </w:r>
            <w:r w:rsidRPr="00901E0A">
              <w:rPr>
                <w:rFonts w:asciiTheme="majorEastAsia" w:eastAsiaTheme="majorEastAsia" w:hAnsiTheme="majorEastAsia" w:cs="新細明體"/>
                <w:kern w:val="0"/>
                <w:szCs w:val="24"/>
              </w:rPr>
              <w:t> $12,000</w:t>
            </w:r>
            <w:r w:rsidRPr="00901E0A">
              <w:rPr>
                <w:rFonts w:asciiTheme="majorEastAsia" w:eastAsiaTheme="majorEastAsia" w:hAnsiTheme="majorEastAsia" w:cs="新細明體" w:hint="eastAsia"/>
                <w:kern w:val="0"/>
                <w:szCs w:val="24"/>
              </w:rPr>
              <w:t>；而家庭每月入息中位數約為</w:t>
            </w:r>
            <w:r w:rsidRPr="00901E0A">
              <w:rPr>
                <w:rFonts w:asciiTheme="majorEastAsia" w:eastAsiaTheme="majorEastAsia" w:hAnsiTheme="majorEastAsia" w:cs="新細明體"/>
                <w:kern w:val="0"/>
                <w:szCs w:val="24"/>
              </w:rPr>
              <w:t> $12, 000</w:t>
            </w:r>
            <w:r w:rsidRPr="00901E0A">
              <w:rPr>
                <w:rFonts w:asciiTheme="majorEastAsia" w:eastAsiaTheme="majorEastAsia" w:hAnsiTheme="majorEastAsia" w:cs="新細明體" w:hint="eastAsia"/>
                <w:kern w:val="0"/>
                <w:szCs w:val="24"/>
              </w:rPr>
              <w:t>，亦遠低於全港家庭入息中位數之</w:t>
            </w:r>
            <w:r w:rsidRPr="00901E0A">
              <w:rPr>
                <w:rFonts w:asciiTheme="majorEastAsia" w:eastAsiaTheme="majorEastAsia" w:hAnsiTheme="majorEastAsia" w:cs="新細明體"/>
                <w:kern w:val="0"/>
                <w:szCs w:val="24"/>
              </w:rPr>
              <w:t>$22,000</w:t>
            </w:r>
            <w:r w:rsidRPr="00901E0A">
              <w:rPr>
                <w:rFonts w:asciiTheme="majorEastAsia" w:eastAsiaTheme="majorEastAsia" w:hAnsiTheme="majorEastAsia" w:cs="新細明體" w:hint="eastAsia"/>
                <w:kern w:val="0"/>
                <w:szCs w:val="24"/>
              </w:rPr>
              <w:t>。以此計算，</w:t>
            </w:r>
            <w:r w:rsidRPr="00901E0A">
              <w:rPr>
                <w:rFonts w:asciiTheme="majorEastAsia" w:eastAsiaTheme="majorEastAsia" w:hAnsiTheme="majorEastAsia" w:cs="新細明體"/>
                <w:kern w:val="0"/>
                <w:szCs w:val="24"/>
              </w:rPr>
              <w:t>45.9% </w:t>
            </w:r>
            <w:r w:rsidRPr="00901E0A">
              <w:rPr>
                <w:rFonts w:asciiTheme="majorEastAsia" w:eastAsiaTheme="majorEastAsia" w:hAnsiTheme="majorEastAsia" w:cs="新細明體" w:hint="eastAsia"/>
                <w:kern w:val="0"/>
                <w:szCs w:val="24"/>
              </w:rPr>
              <w:t>受訪者正處於貧窮線下，</w:t>
            </w: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kern w:val="0"/>
                <w:szCs w:val="24"/>
              </w:rPr>
              <w:t>當中</w:t>
            </w:r>
            <w:r w:rsidRPr="00901E0A">
              <w:rPr>
                <w:rFonts w:asciiTheme="majorEastAsia" w:eastAsiaTheme="majorEastAsia" w:hAnsiTheme="majorEastAsia" w:cs="新細明體"/>
                <w:kern w:val="0"/>
                <w:szCs w:val="24"/>
              </w:rPr>
              <w:lastRenderedPageBreak/>
              <w:t>63% </w:t>
            </w:r>
            <w:r w:rsidRPr="00901E0A">
              <w:rPr>
                <w:rFonts w:asciiTheme="majorEastAsia" w:eastAsiaTheme="majorEastAsia" w:hAnsiTheme="majorEastAsia" w:cs="新細明體" w:hint="eastAsia"/>
                <w:kern w:val="0"/>
                <w:szCs w:val="24"/>
              </w:rPr>
              <w:t>的病患者及家屬為「非從事經濟活動」註的組群。他們</w:t>
            </w:r>
            <w:proofErr w:type="gramStart"/>
            <w:r w:rsidRPr="00901E0A">
              <w:rPr>
                <w:rFonts w:asciiTheme="majorEastAsia" w:eastAsiaTheme="majorEastAsia" w:hAnsiTheme="majorEastAsia" w:cs="新細明體" w:hint="eastAsia"/>
                <w:kern w:val="0"/>
                <w:szCs w:val="24"/>
              </w:rPr>
              <w:t>可說是貧病交迫</w:t>
            </w:r>
            <w:proofErr w:type="gramEnd"/>
            <w:r w:rsidRPr="00901E0A">
              <w:rPr>
                <w:rFonts w:asciiTheme="majorEastAsia" w:eastAsiaTheme="majorEastAsia" w:hAnsiTheme="majorEastAsia" w:cs="新細明體" w:hint="eastAsia"/>
                <w:kern w:val="0"/>
                <w:szCs w:val="24"/>
              </w:rPr>
              <w:t>，情況非常值得關注。</w:t>
            </w:r>
          </w:p>
          <w:p w:rsidR="00901E0A" w:rsidRPr="00901E0A" w:rsidRDefault="00901E0A" w:rsidP="00901E0A">
            <w:pPr>
              <w:widowControl/>
              <w:spacing w:before="100" w:beforeAutospacing="1" w:after="100" w:afterAutospacing="1"/>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 </w:t>
            </w:r>
          </w:p>
          <w:p w:rsidR="00901E0A" w:rsidRPr="00901E0A" w:rsidRDefault="00901E0A" w:rsidP="00901E0A">
            <w:pPr>
              <w:widowControl/>
              <w:spacing w:before="100" w:beforeAutospacing="1" w:after="100" w:afterAutospacing="1"/>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 </w:t>
            </w:r>
          </w:p>
          <w:p w:rsidR="00901E0A" w:rsidRPr="00901E0A" w:rsidRDefault="00901E0A" w:rsidP="00901E0A">
            <w:pPr>
              <w:widowControl/>
              <w:spacing w:before="100" w:beforeAutospacing="1" w:after="100" w:afterAutospacing="1"/>
              <w:rPr>
                <w:rFonts w:asciiTheme="majorEastAsia" w:eastAsiaTheme="majorEastAsia" w:hAnsiTheme="majorEastAsia" w:cs="新細明體"/>
                <w:b/>
                <w:kern w:val="0"/>
                <w:szCs w:val="24"/>
              </w:rPr>
            </w:pP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b/>
                <w:bCs/>
                <w:kern w:val="0"/>
                <w:szCs w:val="24"/>
              </w:rPr>
              <w:t>建議</w:t>
            </w:r>
          </w:p>
          <w:p w:rsidR="00901E0A" w:rsidRPr="00901E0A" w:rsidRDefault="00901E0A" w:rsidP="00901E0A">
            <w:pPr>
              <w:widowControl/>
              <w:spacing w:before="100" w:beforeAutospacing="1" w:after="100" w:afterAutospacing="1"/>
              <w:ind w:left="360"/>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1.</w:t>
            </w:r>
            <w:r w:rsidRPr="00901E0A">
              <w:rPr>
                <w:rFonts w:asciiTheme="majorEastAsia" w:eastAsiaTheme="majorEastAsia" w:hAnsiTheme="majorEastAsia" w:cs="Times New Roman"/>
                <w:kern w:val="0"/>
                <w:szCs w:val="24"/>
              </w:rPr>
              <w:t>      </w:t>
            </w:r>
            <w:r>
              <w:rPr>
                <w:rFonts w:asciiTheme="majorEastAsia" w:eastAsiaTheme="majorEastAsia" w:hAnsiTheme="majorEastAsia" w:cs="Times New Roman" w:hint="eastAsia"/>
                <w:kern w:val="0"/>
                <w:szCs w:val="24"/>
                <w:lang w:eastAsia="zh-HK"/>
              </w:rPr>
              <w:t xml:space="preserve"> </w:t>
            </w:r>
            <w:r w:rsidRPr="00901E0A">
              <w:rPr>
                <w:rFonts w:asciiTheme="majorEastAsia" w:eastAsiaTheme="majorEastAsia" w:hAnsiTheme="majorEastAsia" w:cs="新細明體" w:hint="eastAsia"/>
                <w:kern w:val="0"/>
                <w:szCs w:val="24"/>
              </w:rPr>
              <w:t>政府在制定扶貧措施時，應顧及長期病患者及家屬的需要，為他們提供更適切的經濟援助或實物援助，以舒緩患者及家屬在經濟和生活上的壓力，從而縮減貧富懸殊的情況。</w:t>
            </w:r>
          </w:p>
          <w:p w:rsidR="00901E0A" w:rsidRPr="00901E0A" w:rsidRDefault="00901E0A" w:rsidP="00901E0A">
            <w:pPr>
              <w:widowControl/>
              <w:spacing w:before="100" w:beforeAutospacing="1" w:after="100" w:afterAutospacing="1"/>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 </w:t>
            </w:r>
          </w:p>
          <w:p w:rsidR="00901E0A" w:rsidRPr="00901E0A" w:rsidRDefault="00901E0A" w:rsidP="00901E0A">
            <w:pPr>
              <w:widowControl/>
              <w:spacing w:before="100" w:beforeAutospacing="1" w:after="100" w:afterAutospacing="1"/>
              <w:ind w:left="360"/>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2.</w:t>
            </w:r>
            <w:r w:rsidRPr="00901E0A">
              <w:rPr>
                <w:rFonts w:asciiTheme="majorEastAsia" w:eastAsiaTheme="majorEastAsia" w:hAnsiTheme="majorEastAsia" w:cs="Times New Roman"/>
                <w:kern w:val="0"/>
                <w:szCs w:val="24"/>
              </w:rPr>
              <w:t>      </w:t>
            </w:r>
            <w:r>
              <w:rPr>
                <w:rFonts w:asciiTheme="majorEastAsia" w:eastAsiaTheme="majorEastAsia" w:hAnsiTheme="majorEastAsia" w:cs="Times New Roman" w:hint="eastAsia"/>
                <w:kern w:val="0"/>
                <w:szCs w:val="24"/>
                <w:lang w:eastAsia="zh-HK"/>
              </w:rPr>
              <w:t xml:space="preserve"> </w:t>
            </w:r>
            <w:r w:rsidRPr="00901E0A">
              <w:rPr>
                <w:rFonts w:asciiTheme="majorEastAsia" w:eastAsiaTheme="majorEastAsia" w:hAnsiTheme="majorEastAsia" w:cs="新細明體" w:hint="eastAsia"/>
                <w:kern w:val="0"/>
                <w:szCs w:val="24"/>
              </w:rPr>
              <w:t>在政府最近公佈的人口政策中提及，香港需要補充勞動人口，並應發掘潛在的勞動力。我們建議政府檢討現時照顧者的支援服務及制定相關政策，例如增設長期病患者社區照顧服務，藉此讓更多合適的照顧者重投勞動市場。</w:t>
            </w:r>
          </w:p>
          <w:p w:rsidR="00901E0A" w:rsidRPr="00901E0A" w:rsidRDefault="00901E0A" w:rsidP="00901E0A">
            <w:pPr>
              <w:widowControl/>
              <w:spacing w:before="100" w:beforeAutospacing="1" w:after="100" w:afterAutospacing="1"/>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 </w:t>
            </w:r>
          </w:p>
          <w:p w:rsidR="00901E0A" w:rsidRPr="00901E0A" w:rsidRDefault="00901E0A" w:rsidP="00901E0A">
            <w:pPr>
              <w:widowControl/>
              <w:spacing w:before="100" w:beforeAutospacing="1" w:after="100" w:afterAutospacing="1"/>
              <w:ind w:left="360"/>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3.</w:t>
            </w:r>
            <w:r w:rsidRPr="00901E0A">
              <w:rPr>
                <w:rFonts w:asciiTheme="majorEastAsia" w:eastAsiaTheme="majorEastAsia" w:hAnsiTheme="majorEastAsia" w:cs="Times New Roman"/>
                <w:kern w:val="0"/>
                <w:szCs w:val="24"/>
              </w:rPr>
              <w:t>      </w:t>
            </w:r>
            <w:r>
              <w:rPr>
                <w:rFonts w:asciiTheme="majorEastAsia" w:eastAsiaTheme="majorEastAsia" w:hAnsiTheme="majorEastAsia" w:cs="Times New Roman" w:hint="eastAsia"/>
                <w:kern w:val="0"/>
                <w:szCs w:val="24"/>
                <w:lang w:eastAsia="zh-HK"/>
              </w:rPr>
              <w:t xml:space="preserve"> </w:t>
            </w:r>
            <w:r w:rsidRPr="00901E0A">
              <w:rPr>
                <w:rFonts w:asciiTheme="majorEastAsia" w:eastAsiaTheme="majorEastAsia" w:hAnsiTheme="majorEastAsia" w:cs="新細明體" w:hint="eastAsia"/>
                <w:kern w:val="0"/>
                <w:szCs w:val="24"/>
              </w:rPr>
              <w:t>現時坊間有志願團體與私營基層醫療合作，為區內有需要人士提供醫療費用的減免計劃，效果良好。我們建議政府可以參考類似的合作模式，並於來年的施政報告中提出加強公私營基層醫療合作的計劃，並為長期病患者提供適切的精神健康醫療服務和社區支援。</w:t>
            </w:r>
          </w:p>
          <w:p w:rsidR="00901E0A" w:rsidRPr="00901E0A" w:rsidRDefault="00901E0A" w:rsidP="00901E0A">
            <w:pPr>
              <w:widowControl/>
              <w:spacing w:before="100" w:beforeAutospacing="1" w:after="100" w:afterAutospacing="1"/>
              <w:rPr>
                <w:rFonts w:asciiTheme="majorEastAsia" w:eastAsiaTheme="majorEastAsia" w:hAnsiTheme="majorEastAsia" w:cs="新細明體"/>
                <w:b/>
                <w:kern w:val="0"/>
                <w:szCs w:val="24"/>
              </w:rPr>
            </w:pPr>
            <w:r w:rsidRPr="00901E0A">
              <w:rPr>
                <w:rFonts w:asciiTheme="majorEastAsia" w:eastAsiaTheme="majorEastAsia" w:hAnsiTheme="majorEastAsia" w:cs="新細明體"/>
                <w:kern w:val="0"/>
                <w:szCs w:val="24"/>
              </w:rPr>
              <w:t> </w:t>
            </w:r>
          </w:p>
          <w:p w:rsidR="00901E0A" w:rsidRPr="00901E0A" w:rsidRDefault="00901E0A" w:rsidP="00901E0A">
            <w:pPr>
              <w:widowControl/>
              <w:spacing w:before="100" w:beforeAutospacing="1" w:after="100" w:afterAutospacing="1"/>
              <w:rPr>
                <w:rFonts w:asciiTheme="majorEastAsia" w:eastAsiaTheme="majorEastAsia" w:hAnsiTheme="majorEastAsia" w:cs="新細明體"/>
                <w:b/>
                <w:kern w:val="0"/>
                <w:szCs w:val="24"/>
              </w:rPr>
            </w:pPr>
            <w:r w:rsidRPr="00901E0A">
              <w:rPr>
                <w:rFonts w:asciiTheme="majorEastAsia" w:eastAsiaTheme="majorEastAsia" w:hAnsiTheme="majorEastAsia" w:cs="新細明體" w:hint="eastAsia"/>
                <w:b/>
                <w:bCs/>
                <w:kern w:val="0"/>
                <w:szCs w:val="24"/>
              </w:rPr>
              <w:t>中心倡議動態</w:t>
            </w:r>
          </w:p>
          <w:p w:rsidR="00901E0A" w:rsidRPr="00901E0A" w:rsidRDefault="00901E0A" w:rsidP="00901E0A">
            <w:pPr>
              <w:widowControl/>
              <w:spacing w:before="100" w:beforeAutospacing="1" w:after="100" w:afterAutospacing="1"/>
              <w:jc w:val="center"/>
              <w:rPr>
                <w:rFonts w:asciiTheme="majorEastAsia" w:eastAsiaTheme="majorEastAsia" w:hAnsiTheme="majorEastAsia" w:cs="新細明體"/>
                <w:b/>
                <w:kern w:val="0"/>
                <w:szCs w:val="24"/>
              </w:rPr>
            </w:pP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b/>
                <w:bCs/>
                <w:kern w:val="0"/>
                <w:szCs w:val="24"/>
              </w:rPr>
              <w:t>關注腦神經專科中心的成立</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hint="eastAsia"/>
                <w:kern w:val="0"/>
                <w:szCs w:val="24"/>
              </w:rPr>
              <w:t>香港病人組織聯盟有限公司，連同多個關注腦科服務的病人自助組織、</w:t>
            </w:r>
            <w:proofErr w:type="gramStart"/>
            <w:r w:rsidRPr="00901E0A">
              <w:rPr>
                <w:rFonts w:asciiTheme="majorEastAsia" w:eastAsiaTheme="majorEastAsia" w:hAnsiTheme="majorEastAsia" w:cs="新細明體" w:hint="eastAsia"/>
                <w:kern w:val="0"/>
                <w:szCs w:val="24"/>
              </w:rPr>
              <w:t>研倡</w:t>
            </w:r>
            <w:proofErr w:type="gramEnd"/>
            <w:r w:rsidRPr="00901E0A">
              <w:rPr>
                <w:rFonts w:asciiTheme="majorEastAsia" w:eastAsiaTheme="majorEastAsia" w:hAnsiTheme="majorEastAsia" w:cs="新細明體" w:hint="eastAsia"/>
                <w:kern w:val="0"/>
                <w:szCs w:val="24"/>
              </w:rPr>
              <w:t>中心等於十月八日接待了立法會議員鄧家彪先生及麥美</w:t>
            </w:r>
            <w:proofErr w:type="gramStart"/>
            <w:r w:rsidRPr="00901E0A">
              <w:rPr>
                <w:rFonts w:asciiTheme="majorEastAsia" w:eastAsiaTheme="majorEastAsia" w:hAnsiTheme="majorEastAsia" w:cs="新細明體" w:hint="eastAsia"/>
                <w:kern w:val="0"/>
                <w:szCs w:val="24"/>
              </w:rPr>
              <w:t>娟</w:t>
            </w:r>
            <w:proofErr w:type="gramEnd"/>
            <w:r w:rsidRPr="00901E0A">
              <w:rPr>
                <w:rFonts w:asciiTheme="majorEastAsia" w:eastAsiaTheme="majorEastAsia" w:hAnsiTheme="majorEastAsia" w:cs="新細明體" w:hint="eastAsia"/>
                <w:kern w:val="0"/>
                <w:szCs w:val="24"/>
              </w:rPr>
              <w:t>女士，就</w:t>
            </w:r>
            <w:r w:rsidRPr="00901E0A">
              <w:rPr>
                <w:rFonts w:asciiTheme="majorEastAsia" w:eastAsiaTheme="majorEastAsia" w:hAnsiTheme="majorEastAsia" w:cs="新細明體"/>
                <w:kern w:val="0"/>
                <w:szCs w:val="24"/>
              </w:rPr>
              <w:t>2007</w:t>
            </w:r>
            <w:r w:rsidRPr="00901E0A">
              <w:rPr>
                <w:rFonts w:asciiTheme="majorEastAsia" w:eastAsiaTheme="majorEastAsia" w:hAnsiTheme="majorEastAsia" w:cs="新細明體" w:hint="eastAsia"/>
                <w:kern w:val="0"/>
                <w:szCs w:val="24"/>
              </w:rPr>
              <w:t>年施政報告提出的興建腦神經專科心的關注，交流意見。</w:t>
            </w:r>
          </w:p>
          <w:p w:rsidR="00901E0A" w:rsidRPr="00901E0A" w:rsidRDefault="00901E0A" w:rsidP="00901E0A">
            <w:pPr>
              <w:widowControl/>
              <w:spacing w:before="100" w:beforeAutospacing="1" w:after="100" w:afterAutospacing="1"/>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 </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hint="eastAsia"/>
                <w:kern w:val="0"/>
                <w:szCs w:val="24"/>
              </w:rPr>
              <w:t>當天出席的病人自助組織包括</w:t>
            </w:r>
            <w:proofErr w:type="gramStart"/>
            <w:r w:rsidRPr="00901E0A">
              <w:rPr>
                <w:rFonts w:asciiTheme="majorEastAsia" w:eastAsiaTheme="majorEastAsia" w:hAnsiTheme="majorEastAsia" w:cs="新細明體" w:hint="eastAsia"/>
                <w:kern w:val="0"/>
                <w:szCs w:val="24"/>
              </w:rPr>
              <w:t>︰</w:t>
            </w:r>
            <w:proofErr w:type="gramEnd"/>
            <w:r w:rsidRPr="00901E0A">
              <w:rPr>
                <w:rFonts w:asciiTheme="majorEastAsia" w:eastAsiaTheme="majorEastAsia" w:hAnsiTheme="majorEastAsia" w:cs="新細明體" w:hint="eastAsia"/>
                <w:kern w:val="0"/>
                <w:szCs w:val="24"/>
              </w:rPr>
              <w:t>腦同盟、</w:t>
            </w:r>
            <w:proofErr w:type="gramStart"/>
            <w:r w:rsidRPr="00901E0A">
              <w:rPr>
                <w:rFonts w:asciiTheme="majorEastAsia" w:eastAsiaTheme="majorEastAsia" w:hAnsiTheme="majorEastAsia" w:cs="新細明體" w:hint="eastAsia"/>
                <w:kern w:val="0"/>
                <w:szCs w:val="24"/>
              </w:rPr>
              <w:t>腦友心</w:t>
            </w:r>
            <w:proofErr w:type="gramEnd"/>
            <w:r w:rsidRPr="00901E0A">
              <w:rPr>
                <w:rFonts w:asciiTheme="majorEastAsia" w:eastAsiaTheme="majorEastAsia" w:hAnsiTheme="majorEastAsia" w:cs="新細明體" w:hint="eastAsia"/>
                <w:kern w:val="0"/>
                <w:szCs w:val="24"/>
              </w:rPr>
              <w:t>、</w:t>
            </w:r>
            <w:proofErr w:type="gramStart"/>
            <w:r w:rsidRPr="00901E0A">
              <w:rPr>
                <w:rFonts w:asciiTheme="majorEastAsia" w:eastAsiaTheme="majorEastAsia" w:hAnsiTheme="majorEastAsia" w:cs="新細明體" w:hint="eastAsia"/>
                <w:kern w:val="0"/>
                <w:szCs w:val="24"/>
              </w:rPr>
              <w:t>新健社</w:t>
            </w:r>
            <w:proofErr w:type="gramEnd"/>
            <w:r w:rsidRPr="00901E0A">
              <w:rPr>
                <w:rFonts w:asciiTheme="majorEastAsia" w:eastAsiaTheme="majorEastAsia" w:hAnsiTheme="majorEastAsia" w:cs="新細明體" w:hint="eastAsia"/>
                <w:kern w:val="0"/>
                <w:szCs w:val="24"/>
              </w:rPr>
              <w:t>、腦友</w:t>
            </w:r>
            <w:proofErr w:type="gramStart"/>
            <w:r w:rsidRPr="00901E0A">
              <w:rPr>
                <w:rFonts w:asciiTheme="majorEastAsia" w:eastAsiaTheme="majorEastAsia" w:hAnsiTheme="majorEastAsia" w:cs="新細明體" w:hint="eastAsia"/>
                <w:kern w:val="0"/>
                <w:szCs w:val="24"/>
              </w:rPr>
              <w:t>匯</w:t>
            </w:r>
            <w:proofErr w:type="gramEnd"/>
            <w:r w:rsidRPr="00901E0A">
              <w:rPr>
                <w:rFonts w:asciiTheme="majorEastAsia" w:eastAsiaTheme="majorEastAsia" w:hAnsiTheme="majorEastAsia" w:cs="新細明體" w:hint="eastAsia"/>
                <w:kern w:val="0"/>
                <w:szCs w:val="24"/>
              </w:rPr>
              <w:t>及協</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會病人及家屬代表。香港病人組織聯盟及相關組織會繼續爭取及跟進有關腦神經專科中心的事宜，並於十一月約見食物及衞生局表達意見。</w:t>
            </w: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kern w:val="0"/>
                <w:szCs w:val="24"/>
              </w:rPr>
              <w:t>如欲進一步了解成立腦神經專科中心的資料和本會立場，可參閱《研倡點滴》</w:t>
            </w:r>
            <w:r w:rsidRPr="00901E0A">
              <w:rPr>
                <w:rFonts w:asciiTheme="majorEastAsia" w:eastAsiaTheme="majorEastAsia" w:hAnsiTheme="majorEastAsia" w:cs="新細明體"/>
                <w:kern w:val="0"/>
                <w:szCs w:val="24"/>
              </w:rPr>
              <w:t>6</w:t>
            </w:r>
            <w:r w:rsidRPr="00901E0A">
              <w:rPr>
                <w:rFonts w:asciiTheme="majorEastAsia" w:eastAsiaTheme="majorEastAsia" w:hAnsiTheme="majorEastAsia" w:cs="新細明體" w:hint="eastAsia"/>
                <w:kern w:val="0"/>
                <w:szCs w:val="24"/>
              </w:rPr>
              <w:t>月份的號外</w:t>
            </w:r>
          </w:p>
          <w:p w:rsidR="00901E0A" w:rsidRPr="00901E0A" w:rsidRDefault="00901E0A" w:rsidP="00901E0A">
            <w:pPr>
              <w:widowControl/>
              <w:spacing w:before="100" w:beforeAutospacing="1" w:after="100" w:afterAutospacing="1"/>
              <w:jc w:val="center"/>
              <w:rPr>
                <w:rFonts w:asciiTheme="majorEastAsia" w:eastAsiaTheme="majorEastAsia" w:hAnsiTheme="majorEastAsia" w:cs="新細明體"/>
                <w:b/>
                <w:kern w:val="0"/>
                <w:szCs w:val="24"/>
              </w:rPr>
            </w:pP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b/>
                <w:bCs/>
                <w:kern w:val="0"/>
                <w:szCs w:val="24"/>
              </w:rPr>
              <w:t>與食物及衞生局會晤</w:t>
            </w:r>
            <w:r w:rsidRPr="00901E0A">
              <w:rPr>
                <w:rFonts w:asciiTheme="majorEastAsia" w:eastAsiaTheme="majorEastAsia" w:hAnsiTheme="majorEastAsia" w:cs="新細明體"/>
                <w:b/>
                <w:bCs/>
                <w:kern w:val="0"/>
                <w:szCs w:val="24"/>
              </w:rPr>
              <w:t>: </w:t>
            </w:r>
            <w:r w:rsidRPr="00901E0A">
              <w:rPr>
                <w:rFonts w:asciiTheme="majorEastAsia" w:eastAsiaTheme="majorEastAsia" w:hAnsiTheme="majorEastAsia" w:cs="新細明體" w:hint="eastAsia"/>
                <w:b/>
                <w:bCs/>
                <w:kern w:val="0"/>
                <w:szCs w:val="24"/>
              </w:rPr>
              <w:t>關注腦</w:t>
            </w:r>
            <w:proofErr w:type="gramStart"/>
            <w:r w:rsidRPr="00901E0A">
              <w:rPr>
                <w:rFonts w:asciiTheme="majorEastAsia" w:eastAsiaTheme="majorEastAsia" w:hAnsiTheme="majorEastAsia" w:cs="新細明體" w:hint="eastAsia"/>
                <w:b/>
                <w:bCs/>
                <w:kern w:val="0"/>
                <w:szCs w:val="24"/>
              </w:rPr>
              <w:t>癇</w:t>
            </w:r>
            <w:proofErr w:type="gramEnd"/>
            <w:r w:rsidRPr="00901E0A">
              <w:rPr>
                <w:rFonts w:asciiTheme="majorEastAsia" w:eastAsiaTheme="majorEastAsia" w:hAnsiTheme="majorEastAsia" w:cs="新細明體" w:hint="eastAsia"/>
                <w:b/>
                <w:bCs/>
                <w:kern w:val="0"/>
                <w:szCs w:val="24"/>
              </w:rPr>
              <w:t>病人的醫療服務</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hint="eastAsia"/>
                <w:kern w:val="0"/>
                <w:szCs w:val="24"/>
              </w:rPr>
              <w:t>本中心聯同香港協</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會及香港腦癇學會於九月三十日會晤食物及衞生局代表，就中心的研究報告關注腦癇症病人的醫療服務需要，與會者逾二十多人。接見的官方代表包括</w:t>
            </w: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kern w:val="0"/>
                <w:szCs w:val="24"/>
              </w:rPr>
              <w:t>食衞局首席助理秘書長李頌恩女士和政治助理陳凱欣女士、醫管局質素及安全部高級經理何婉霞醫生、聯合醫院內科及老人科</w:t>
            </w:r>
            <w:r w:rsidRPr="00901E0A">
              <w:rPr>
                <w:rFonts w:asciiTheme="majorEastAsia" w:eastAsiaTheme="majorEastAsia" w:hAnsiTheme="majorEastAsia" w:cs="新細明體" w:hint="eastAsia"/>
                <w:kern w:val="0"/>
                <w:szCs w:val="24"/>
              </w:rPr>
              <w:lastRenderedPageBreak/>
              <w:t>部門主管吳炳榮醫生。</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 </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hint="eastAsia"/>
                <w:kern w:val="0"/>
                <w:szCs w:val="24"/>
              </w:rPr>
              <w:t>會晤當日，腦</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學會會長呂曉東醫生和幹事陳樂耀醫生、復康會代表包括總監</w:t>
            </w:r>
            <w:r w:rsidRPr="00901E0A">
              <w:rPr>
                <w:rFonts w:asciiTheme="majorEastAsia" w:eastAsiaTheme="majorEastAsia" w:hAnsiTheme="majorEastAsia" w:cs="新細明體"/>
                <w:kern w:val="0"/>
                <w:szCs w:val="24"/>
              </w:rPr>
              <w:t>(</w:t>
            </w:r>
            <w:r w:rsidRPr="00901E0A">
              <w:rPr>
                <w:rFonts w:asciiTheme="majorEastAsia" w:eastAsiaTheme="majorEastAsia" w:hAnsiTheme="majorEastAsia" w:cs="新細明體" w:hint="eastAsia"/>
                <w:kern w:val="0"/>
                <w:szCs w:val="24"/>
              </w:rPr>
              <w:t>復康</w:t>
            </w: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kern w:val="0"/>
                <w:szCs w:val="24"/>
              </w:rPr>
              <w:t>潘經光及研倡中心經理熊德鳳女士及一眾病人及家屬代表主要就以下三方面表達訴求及提出改善建議。重點如下</w:t>
            </w:r>
            <w:r w:rsidRPr="00901E0A">
              <w:rPr>
                <w:rFonts w:asciiTheme="majorEastAsia" w:eastAsiaTheme="majorEastAsia" w:hAnsiTheme="majorEastAsia" w:cs="新細明體"/>
                <w:kern w:val="0"/>
                <w:szCs w:val="24"/>
              </w:rPr>
              <w:t>:</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(1)</w:t>
            </w:r>
            <w:r w:rsidRPr="00901E0A">
              <w:rPr>
                <w:rFonts w:asciiTheme="majorEastAsia" w:eastAsiaTheme="majorEastAsia" w:hAnsiTheme="majorEastAsia" w:cs="Times New Roman"/>
                <w:kern w:val="0"/>
                <w:szCs w:val="24"/>
              </w:rPr>
              <w:t>                    </w:t>
            </w:r>
            <w:r w:rsidRPr="00901E0A">
              <w:rPr>
                <w:rFonts w:asciiTheme="majorEastAsia" w:eastAsiaTheme="majorEastAsia" w:hAnsiTheme="majorEastAsia" w:cs="Times New Roman" w:hint="eastAsia"/>
                <w:kern w:val="0"/>
                <w:szCs w:val="24"/>
                <w:lang w:eastAsia="zh-HK"/>
              </w:rPr>
              <w:t xml:space="preserve"> </w:t>
            </w:r>
            <w:r w:rsidRPr="00901E0A">
              <w:rPr>
                <w:rFonts w:asciiTheme="majorEastAsia" w:eastAsiaTheme="majorEastAsia" w:hAnsiTheme="majorEastAsia" w:cs="新細明體" w:hint="eastAsia"/>
                <w:kern w:val="0"/>
                <w:szCs w:val="24"/>
              </w:rPr>
              <w:t>醫療服務方面</w:t>
            </w: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kern w:val="0"/>
                <w:szCs w:val="24"/>
              </w:rPr>
              <w:t>由於腦癇症的突發性及重覆性，病人的病情一般較難控制。醫生需要高度的專業性及技巧才能完全掌握病人多變的病情。除了</w:t>
            </w:r>
            <w:proofErr w:type="gramStart"/>
            <w:r w:rsidRPr="00901E0A">
              <w:rPr>
                <w:rFonts w:asciiTheme="majorEastAsia" w:eastAsiaTheme="majorEastAsia" w:hAnsiTheme="majorEastAsia" w:cs="新細明體" w:hint="eastAsia"/>
                <w:kern w:val="0"/>
                <w:szCs w:val="24"/>
              </w:rPr>
              <w:t>每次覆診醫生</w:t>
            </w:r>
            <w:proofErr w:type="gramEnd"/>
            <w:r w:rsidRPr="00901E0A">
              <w:rPr>
                <w:rFonts w:asciiTheme="majorEastAsia" w:eastAsiaTheme="majorEastAsia" w:hAnsiTheme="majorEastAsia" w:cs="新細明體" w:hint="eastAsia"/>
                <w:kern w:val="0"/>
                <w:szCs w:val="24"/>
              </w:rPr>
              <w:t>不同、</w:t>
            </w:r>
            <w:proofErr w:type="gramStart"/>
            <w:r w:rsidRPr="00901E0A">
              <w:rPr>
                <w:rFonts w:asciiTheme="majorEastAsia" w:eastAsiaTheme="majorEastAsia" w:hAnsiTheme="majorEastAsia" w:cs="新細明體" w:hint="eastAsia"/>
                <w:kern w:val="0"/>
                <w:szCs w:val="24"/>
              </w:rPr>
              <w:t>診症時間</w:t>
            </w:r>
            <w:proofErr w:type="gramEnd"/>
            <w:r w:rsidRPr="00901E0A">
              <w:rPr>
                <w:rFonts w:asciiTheme="majorEastAsia" w:eastAsiaTheme="majorEastAsia" w:hAnsiTheme="majorEastAsia" w:cs="新細明體" w:hint="eastAsia"/>
                <w:kern w:val="0"/>
                <w:szCs w:val="24"/>
              </w:rPr>
              <w:t>不足等問題外，</w:t>
            </w: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kern w:val="0"/>
                <w:szCs w:val="24"/>
              </w:rPr>
              <w:t>有病人反映未能得到基本的腦科檢查，如磁力共振檢查，影響其診治和生活質素。</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b/>
                <w:kern w:val="0"/>
                <w:szCs w:val="24"/>
              </w:rPr>
            </w:pPr>
            <w:r w:rsidRPr="00901E0A">
              <w:rPr>
                <w:rFonts w:asciiTheme="majorEastAsia" w:eastAsiaTheme="majorEastAsia" w:hAnsiTheme="majorEastAsia" w:cs="新細明體" w:hint="eastAsia"/>
                <w:b/>
                <w:bCs/>
                <w:kern w:val="0"/>
                <w:szCs w:val="24"/>
              </w:rPr>
              <w:t>建議</w:t>
            </w:r>
            <w:r w:rsidRPr="00901E0A">
              <w:rPr>
                <w:rFonts w:asciiTheme="majorEastAsia" w:eastAsiaTheme="majorEastAsia" w:hAnsiTheme="majorEastAsia" w:cs="新細明體"/>
                <w:b/>
                <w:kern w:val="0"/>
                <w:szCs w:val="24"/>
              </w:rPr>
              <w:t>:</w:t>
            </w:r>
          </w:p>
          <w:p w:rsidR="00901E0A" w:rsidRPr="00901E0A" w:rsidRDefault="00901E0A" w:rsidP="00901E0A">
            <w:pPr>
              <w:pStyle w:val="a4"/>
              <w:widowControl/>
              <w:numPr>
                <w:ilvl w:val="0"/>
                <w:numId w:val="1"/>
              </w:numPr>
              <w:spacing w:before="100" w:beforeAutospacing="1" w:after="100" w:afterAutospacing="1"/>
              <w:ind w:leftChars="0"/>
              <w:rPr>
                <w:rFonts w:asciiTheme="majorEastAsia" w:eastAsiaTheme="majorEastAsia" w:hAnsiTheme="majorEastAsia" w:cs="新細明體"/>
                <w:kern w:val="0"/>
                <w:szCs w:val="24"/>
              </w:rPr>
            </w:pPr>
            <w:r w:rsidRPr="00901E0A">
              <w:rPr>
                <w:rFonts w:asciiTheme="majorEastAsia" w:eastAsiaTheme="majorEastAsia" w:hAnsiTheme="majorEastAsia" w:cs="Times New Roman"/>
                <w:kern w:val="0"/>
                <w:szCs w:val="24"/>
              </w:rPr>
              <w:t>   </w:t>
            </w:r>
            <w:proofErr w:type="gramStart"/>
            <w:r w:rsidRPr="00901E0A">
              <w:rPr>
                <w:rFonts w:asciiTheme="majorEastAsia" w:eastAsiaTheme="majorEastAsia" w:hAnsiTheme="majorEastAsia" w:cs="新細明體" w:hint="eastAsia"/>
                <w:kern w:val="0"/>
                <w:szCs w:val="24"/>
              </w:rPr>
              <w:t>為難治</w:t>
            </w:r>
            <w:proofErr w:type="gramEnd"/>
            <w:r w:rsidRPr="00901E0A">
              <w:rPr>
                <w:rFonts w:asciiTheme="majorEastAsia" w:eastAsiaTheme="majorEastAsia" w:hAnsiTheme="majorEastAsia" w:cs="新細明體" w:hint="eastAsia"/>
                <w:kern w:val="0"/>
                <w:szCs w:val="24"/>
              </w:rPr>
              <w:t>性病人安排固定</w:t>
            </w:r>
            <w:proofErr w:type="gramStart"/>
            <w:r w:rsidRPr="00901E0A">
              <w:rPr>
                <w:rFonts w:asciiTheme="majorEastAsia" w:eastAsiaTheme="majorEastAsia" w:hAnsiTheme="majorEastAsia" w:cs="新細明體" w:hint="eastAsia"/>
                <w:kern w:val="0"/>
                <w:szCs w:val="24"/>
              </w:rPr>
              <w:t>醫生診症及加長診症時間</w:t>
            </w:r>
            <w:proofErr w:type="gramEnd"/>
            <w:r w:rsidRPr="00901E0A">
              <w:rPr>
                <w:rFonts w:asciiTheme="majorEastAsia" w:eastAsiaTheme="majorEastAsia" w:hAnsiTheme="majorEastAsia" w:cs="新細明體"/>
                <w:kern w:val="0"/>
                <w:szCs w:val="24"/>
              </w:rPr>
              <w:t>;</w:t>
            </w:r>
          </w:p>
          <w:p w:rsidR="00901E0A" w:rsidRPr="00901E0A" w:rsidRDefault="00901E0A" w:rsidP="00901E0A">
            <w:pPr>
              <w:pStyle w:val="a4"/>
              <w:widowControl/>
              <w:numPr>
                <w:ilvl w:val="0"/>
                <w:numId w:val="1"/>
              </w:numPr>
              <w:spacing w:before="100" w:beforeAutospacing="1" w:after="100" w:afterAutospacing="1"/>
              <w:ind w:leftChars="0"/>
              <w:rPr>
                <w:rFonts w:asciiTheme="majorEastAsia" w:eastAsiaTheme="majorEastAsia" w:hAnsiTheme="majorEastAsia" w:cs="新細明體"/>
                <w:kern w:val="0"/>
                <w:szCs w:val="24"/>
              </w:rPr>
            </w:pPr>
            <w:r w:rsidRPr="00901E0A">
              <w:rPr>
                <w:rFonts w:asciiTheme="majorEastAsia" w:eastAsiaTheme="majorEastAsia" w:hAnsiTheme="majorEastAsia" w:cs="Times New Roman"/>
                <w:kern w:val="0"/>
                <w:szCs w:val="24"/>
              </w:rPr>
              <w:t>   </w:t>
            </w:r>
            <w:r w:rsidRPr="00901E0A">
              <w:rPr>
                <w:rFonts w:asciiTheme="majorEastAsia" w:eastAsiaTheme="majorEastAsia" w:hAnsiTheme="majorEastAsia" w:cs="新細明體" w:hint="eastAsia"/>
                <w:kern w:val="0"/>
                <w:szCs w:val="24"/>
              </w:rPr>
              <w:t>加強醫護人員在腦</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症方面的專業培訓</w:t>
            </w:r>
            <w:r w:rsidRPr="00901E0A">
              <w:rPr>
                <w:rFonts w:asciiTheme="majorEastAsia" w:eastAsiaTheme="majorEastAsia" w:hAnsiTheme="majorEastAsia" w:cs="新細明體"/>
                <w:kern w:val="0"/>
                <w:szCs w:val="24"/>
              </w:rPr>
              <w:t>;</w:t>
            </w:r>
          </w:p>
          <w:p w:rsidR="00901E0A" w:rsidRPr="00901E0A" w:rsidRDefault="00901E0A" w:rsidP="00901E0A">
            <w:pPr>
              <w:pStyle w:val="a4"/>
              <w:widowControl/>
              <w:numPr>
                <w:ilvl w:val="0"/>
                <w:numId w:val="1"/>
              </w:numPr>
              <w:spacing w:before="100" w:beforeAutospacing="1" w:after="100" w:afterAutospacing="1"/>
              <w:ind w:leftChars="0"/>
              <w:rPr>
                <w:rFonts w:asciiTheme="majorEastAsia" w:eastAsiaTheme="majorEastAsia" w:hAnsiTheme="majorEastAsia" w:cs="新細明體"/>
                <w:kern w:val="0"/>
                <w:szCs w:val="24"/>
              </w:rPr>
            </w:pPr>
            <w:r w:rsidRPr="00901E0A">
              <w:rPr>
                <w:rFonts w:asciiTheme="majorEastAsia" w:eastAsiaTheme="majorEastAsia" w:hAnsiTheme="majorEastAsia" w:cs="Times New Roman"/>
                <w:kern w:val="0"/>
                <w:szCs w:val="24"/>
              </w:rPr>
              <w:t>   </w:t>
            </w:r>
            <w:r w:rsidRPr="00901E0A">
              <w:rPr>
                <w:rFonts w:asciiTheme="majorEastAsia" w:eastAsiaTheme="majorEastAsia" w:hAnsiTheme="majorEastAsia" w:cs="新細明體" w:hint="eastAsia"/>
                <w:kern w:val="0"/>
                <w:szCs w:val="24"/>
              </w:rPr>
              <w:t>增設腦</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症專科護士</w:t>
            </w:r>
            <w:r w:rsidRPr="00901E0A">
              <w:rPr>
                <w:rFonts w:asciiTheme="majorEastAsia" w:eastAsiaTheme="majorEastAsia" w:hAnsiTheme="majorEastAsia" w:cs="新細明體"/>
                <w:kern w:val="0"/>
                <w:szCs w:val="24"/>
              </w:rPr>
              <w:t>;</w:t>
            </w:r>
          </w:p>
          <w:p w:rsidR="00901E0A" w:rsidRPr="00901E0A" w:rsidRDefault="00901E0A" w:rsidP="00901E0A">
            <w:pPr>
              <w:pStyle w:val="a4"/>
              <w:widowControl/>
              <w:numPr>
                <w:ilvl w:val="0"/>
                <w:numId w:val="1"/>
              </w:numPr>
              <w:spacing w:before="100" w:beforeAutospacing="1" w:after="100" w:afterAutospacing="1"/>
              <w:ind w:leftChars="0"/>
              <w:rPr>
                <w:rFonts w:asciiTheme="majorEastAsia" w:eastAsiaTheme="majorEastAsia" w:hAnsiTheme="majorEastAsia" w:cs="新細明體"/>
                <w:kern w:val="0"/>
                <w:szCs w:val="24"/>
              </w:rPr>
            </w:pPr>
            <w:r w:rsidRPr="00901E0A">
              <w:rPr>
                <w:rFonts w:asciiTheme="majorEastAsia" w:eastAsiaTheme="majorEastAsia" w:hAnsiTheme="majorEastAsia" w:cs="Times New Roman"/>
                <w:kern w:val="0"/>
                <w:szCs w:val="24"/>
              </w:rPr>
              <w:t>   </w:t>
            </w:r>
            <w:r w:rsidRPr="00901E0A">
              <w:rPr>
                <w:rFonts w:asciiTheme="majorEastAsia" w:eastAsiaTheme="majorEastAsia" w:hAnsiTheme="majorEastAsia" w:cs="新細明體" w:hint="eastAsia"/>
                <w:kern w:val="0"/>
                <w:szCs w:val="24"/>
              </w:rPr>
              <w:t>促進公私營合作，例如資助病人使用私營之磁力共振檢查</w:t>
            </w:r>
            <w:r w:rsidRPr="00901E0A">
              <w:rPr>
                <w:rFonts w:asciiTheme="majorEastAsia" w:eastAsiaTheme="majorEastAsia" w:hAnsiTheme="majorEastAsia" w:cs="新細明體"/>
                <w:kern w:val="0"/>
                <w:szCs w:val="24"/>
              </w:rPr>
              <w:t>;</w:t>
            </w:r>
          </w:p>
          <w:p w:rsidR="00901E0A" w:rsidRPr="00901E0A" w:rsidRDefault="00901E0A" w:rsidP="00901E0A">
            <w:pPr>
              <w:pStyle w:val="a4"/>
              <w:widowControl/>
              <w:numPr>
                <w:ilvl w:val="0"/>
                <w:numId w:val="1"/>
              </w:numPr>
              <w:spacing w:before="100" w:beforeAutospacing="1" w:after="100" w:afterAutospacing="1"/>
              <w:ind w:leftChars="0"/>
              <w:rPr>
                <w:rFonts w:asciiTheme="majorEastAsia" w:eastAsiaTheme="majorEastAsia" w:hAnsiTheme="majorEastAsia" w:cs="新細明體"/>
                <w:kern w:val="0"/>
                <w:szCs w:val="24"/>
              </w:rPr>
            </w:pPr>
            <w:r w:rsidRPr="00901E0A">
              <w:rPr>
                <w:rFonts w:asciiTheme="majorEastAsia" w:eastAsiaTheme="majorEastAsia" w:hAnsiTheme="majorEastAsia" w:cs="Times New Roman"/>
                <w:kern w:val="0"/>
                <w:szCs w:val="24"/>
              </w:rPr>
              <w:t>   </w:t>
            </w:r>
            <w:r w:rsidRPr="00901E0A">
              <w:rPr>
                <w:rFonts w:asciiTheme="majorEastAsia" w:eastAsiaTheme="majorEastAsia" w:hAnsiTheme="majorEastAsia" w:cs="新細明體" w:hint="eastAsia"/>
                <w:kern w:val="0"/>
                <w:szCs w:val="24"/>
              </w:rPr>
              <w:t>長遠成立腦神經專科中心處理難治性的腦</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及其他腦科病</w:t>
            </w:r>
          </w:p>
          <w:p w:rsidR="00901E0A" w:rsidRPr="00901E0A" w:rsidRDefault="00901E0A" w:rsidP="00901E0A">
            <w:pPr>
              <w:widowControl/>
              <w:spacing w:before="100" w:beforeAutospacing="1" w:after="100" w:afterAutospacing="1"/>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         (2)</w:t>
            </w:r>
            <w:r w:rsidRPr="00901E0A">
              <w:rPr>
                <w:rFonts w:asciiTheme="majorEastAsia" w:eastAsiaTheme="majorEastAsia" w:hAnsiTheme="majorEastAsia" w:cs="新細明體" w:hint="eastAsia"/>
                <w:kern w:val="0"/>
                <w:szCs w:val="24"/>
                <w:lang w:eastAsia="zh-HK"/>
              </w:rPr>
              <w:t xml:space="preserve"> </w:t>
            </w:r>
            <w:r w:rsidRPr="00901E0A">
              <w:rPr>
                <w:rFonts w:asciiTheme="majorEastAsia" w:eastAsiaTheme="majorEastAsia" w:hAnsiTheme="majorEastAsia" w:cs="Times New Roman"/>
                <w:kern w:val="0"/>
                <w:szCs w:val="24"/>
              </w:rPr>
              <w:t>                    </w:t>
            </w:r>
            <w:r w:rsidRPr="00901E0A">
              <w:rPr>
                <w:rFonts w:asciiTheme="majorEastAsia" w:eastAsiaTheme="majorEastAsia" w:hAnsiTheme="majorEastAsia" w:cs="新細明體" w:hint="eastAsia"/>
                <w:kern w:val="0"/>
                <w:szCs w:val="24"/>
              </w:rPr>
              <w:t>藥物治療方面</w:t>
            </w: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kern w:val="0"/>
                <w:szCs w:val="24"/>
              </w:rPr>
              <w:t>腦癇症病人每天服用的藥物種類及數量繁多，而且副作用很大，嚴重影響病人的日常生活。部分腦</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症病人並不滿意現時的抗</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藥物治療，期望藥物的</w:t>
            </w:r>
            <w:proofErr w:type="gramStart"/>
            <w:r w:rsidRPr="00901E0A">
              <w:rPr>
                <w:rFonts w:asciiTheme="majorEastAsia" w:eastAsiaTheme="majorEastAsia" w:hAnsiTheme="majorEastAsia" w:cs="新細明體" w:hint="eastAsia"/>
                <w:kern w:val="0"/>
                <w:szCs w:val="24"/>
              </w:rPr>
              <w:t>質素能有所</w:t>
            </w:r>
            <w:proofErr w:type="gramEnd"/>
            <w:r w:rsidRPr="00901E0A">
              <w:rPr>
                <w:rFonts w:asciiTheme="majorEastAsia" w:eastAsiaTheme="majorEastAsia" w:hAnsiTheme="majorEastAsia" w:cs="新細明體" w:hint="eastAsia"/>
                <w:kern w:val="0"/>
                <w:szCs w:val="24"/>
              </w:rPr>
              <w:t>提升。</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b/>
                <w:kern w:val="0"/>
                <w:szCs w:val="24"/>
              </w:rPr>
            </w:pPr>
            <w:r w:rsidRPr="00901E0A">
              <w:rPr>
                <w:rFonts w:asciiTheme="majorEastAsia" w:eastAsiaTheme="majorEastAsia" w:hAnsiTheme="majorEastAsia" w:cs="新細明體" w:hint="eastAsia"/>
                <w:b/>
                <w:bCs/>
                <w:kern w:val="0"/>
                <w:szCs w:val="24"/>
              </w:rPr>
              <w:t>建議</w:t>
            </w:r>
            <w:r w:rsidRPr="00901E0A">
              <w:rPr>
                <w:rFonts w:asciiTheme="majorEastAsia" w:eastAsiaTheme="majorEastAsia" w:hAnsiTheme="majorEastAsia" w:cs="新細明體"/>
                <w:b/>
                <w:kern w:val="0"/>
                <w:szCs w:val="24"/>
              </w:rPr>
              <w:t>:</w:t>
            </w:r>
          </w:p>
          <w:p w:rsidR="00901E0A" w:rsidRPr="00901E0A" w:rsidRDefault="00901E0A" w:rsidP="00901E0A">
            <w:pPr>
              <w:pStyle w:val="a4"/>
              <w:widowControl/>
              <w:numPr>
                <w:ilvl w:val="0"/>
                <w:numId w:val="2"/>
              </w:numPr>
              <w:spacing w:before="100" w:beforeAutospacing="1" w:after="100" w:afterAutospacing="1"/>
              <w:ind w:leftChars="0"/>
              <w:rPr>
                <w:rFonts w:asciiTheme="majorEastAsia" w:eastAsiaTheme="majorEastAsia" w:hAnsiTheme="majorEastAsia" w:cs="新細明體"/>
                <w:kern w:val="0"/>
                <w:szCs w:val="24"/>
              </w:rPr>
            </w:pPr>
            <w:r w:rsidRPr="00901E0A">
              <w:rPr>
                <w:rFonts w:asciiTheme="majorEastAsia" w:eastAsiaTheme="majorEastAsia" w:hAnsiTheme="majorEastAsia" w:cs="Times New Roman"/>
                <w:kern w:val="0"/>
                <w:szCs w:val="24"/>
              </w:rPr>
              <w:t>   </w:t>
            </w:r>
            <w:r w:rsidRPr="00901E0A">
              <w:rPr>
                <w:rFonts w:asciiTheme="majorEastAsia" w:eastAsiaTheme="majorEastAsia" w:hAnsiTheme="majorEastAsia" w:cs="新細明體" w:hint="eastAsia"/>
                <w:kern w:val="0"/>
                <w:szCs w:val="24"/>
              </w:rPr>
              <w:t>參考外國及國內的經驗，引入及採用副作用較少的抗</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藥物及新技術，如鼻腔噴霧劑</w:t>
            </w:r>
            <w:r w:rsidRPr="00901E0A">
              <w:rPr>
                <w:rFonts w:asciiTheme="majorEastAsia" w:eastAsiaTheme="majorEastAsia" w:hAnsiTheme="majorEastAsia" w:cs="新細明體"/>
                <w:kern w:val="0"/>
                <w:szCs w:val="24"/>
              </w:rPr>
              <w:t>;</w:t>
            </w:r>
          </w:p>
          <w:p w:rsidR="00901E0A" w:rsidRPr="00901E0A" w:rsidRDefault="00901E0A" w:rsidP="00901E0A">
            <w:pPr>
              <w:pStyle w:val="a4"/>
              <w:widowControl/>
              <w:numPr>
                <w:ilvl w:val="0"/>
                <w:numId w:val="2"/>
              </w:numPr>
              <w:spacing w:before="100" w:beforeAutospacing="1" w:after="100" w:afterAutospacing="1"/>
              <w:ind w:leftChars="0"/>
              <w:rPr>
                <w:rFonts w:asciiTheme="majorEastAsia" w:eastAsiaTheme="majorEastAsia" w:hAnsiTheme="majorEastAsia" w:cs="新細明體"/>
                <w:kern w:val="0"/>
                <w:szCs w:val="24"/>
              </w:rPr>
            </w:pPr>
            <w:r w:rsidRPr="00901E0A">
              <w:rPr>
                <w:rFonts w:asciiTheme="majorEastAsia" w:eastAsiaTheme="majorEastAsia" w:hAnsiTheme="majorEastAsia" w:cs="Times New Roman"/>
                <w:kern w:val="0"/>
                <w:szCs w:val="24"/>
              </w:rPr>
              <w:t>   </w:t>
            </w:r>
            <w:r w:rsidRPr="00901E0A">
              <w:rPr>
                <w:rFonts w:asciiTheme="majorEastAsia" w:eastAsiaTheme="majorEastAsia" w:hAnsiTheme="majorEastAsia" w:cs="新細明體" w:hint="eastAsia"/>
                <w:kern w:val="0"/>
                <w:szCs w:val="24"/>
              </w:rPr>
              <w:t>醫生於治療的早期應縮短使用療效不高、副作用大之藥物的程序，而直接使用臨床上已證實其更高效而副作用較少的腦</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藥物，以減低病人在工作及日常生活所受的影響</w:t>
            </w:r>
          </w:p>
          <w:p w:rsidR="00901E0A" w:rsidRPr="00901E0A" w:rsidRDefault="00901E0A" w:rsidP="00901E0A">
            <w:pPr>
              <w:widowControl/>
              <w:spacing w:before="100" w:beforeAutospacing="1" w:after="100" w:afterAutospacing="1"/>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 </w:t>
            </w:r>
          </w:p>
          <w:p w:rsidR="00901E0A" w:rsidRPr="00901E0A" w:rsidRDefault="00901E0A" w:rsidP="00901E0A">
            <w:pPr>
              <w:widowControl/>
              <w:spacing w:before="100" w:beforeAutospacing="1" w:after="100" w:afterAutospacing="1"/>
              <w:ind w:firstLineChars="200"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kern w:val="0"/>
                <w:szCs w:val="24"/>
              </w:rPr>
              <w:t>(3)</w:t>
            </w:r>
            <w:r w:rsidRPr="00901E0A">
              <w:rPr>
                <w:rFonts w:asciiTheme="majorEastAsia" w:eastAsiaTheme="majorEastAsia" w:hAnsiTheme="majorEastAsia" w:cs="Times New Roman" w:hint="eastAsia"/>
                <w:kern w:val="0"/>
                <w:szCs w:val="24"/>
                <w:lang w:eastAsia="zh-HK"/>
              </w:rPr>
              <w:t xml:space="preserve"> </w:t>
            </w:r>
            <w:r w:rsidRPr="00901E0A">
              <w:rPr>
                <w:rFonts w:asciiTheme="majorEastAsia" w:eastAsiaTheme="majorEastAsia" w:hAnsiTheme="majorEastAsia" w:cs="新細明體" w:hint="eastAsia"/>
                <w:kern w:val="0"/>
                <w:szCs w:val="24"/>
              </w:rPr>
              <w:t>情緒健康問題</w:t>
            </w: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kern w:val="0"/>
                <w:szCs w:val="24"/>
              </w:rPr>
              <w:t>由於醫療服務及藥物治療不理想，腦癇患者長期未能有效地控制病情，不少人出現了焦慮、抑鬱症的徵狀，對自己及家人帶來沉重之疾病負擔及醫療開支。</w:t>
            </w:r>
            <w:proofErr w:type="gramStart"/>
            <w:r w:rsidRPr="00901E0A">
              <w:rPr>
                <w:rFonts w:asciiTheme="majorEastAsia" w:eastAsiaTheme="majorEastAsia" w:hAnsiTheme="majorEastAsia" w:cs="新細明體" w:hint="eastAsia"/>
                <w:kern w:val="0"/>
                <w:szCs w:val="24"/>
              </w:rPr>
              <w:t>在場的</w:t>
            </w:r>
            <w:proofErr w:type="gramEnd"/>
            <w:r w:rsidRPr="00901E0A">
              <w:rPr>
                <w:rFonts w:asciiTheme="majorEastAsia" w:eastAsiaTheme="majorEastAsia" w:hAnsiTheme="majorEastAsia" w:cs="新細明體" w:hint="eastAsia"/>
                <w:kern w:val="0"/>
                <w:szCs w:val="24"/>
              </w:rPr>
              <w:t>病人及照顧者分享了他們莫大的壓力和因公眾誤解而被標籤的情況。</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b/>
                <w:kern w:val="0"/>
                <w:szCs w:val="24"/>
              </w:rPr>
            </w:pPr>
            <w:r w:rsidRPr="00901E0A">
              <w:rPr>
                <w:rFonts w:asciiTheme="majorEastAsia" w:eastAsiaTheme="majorEastAsia" w:hAnsiTheme="majorEastAsia" w:cs="新細明體" w:hint="eastAsia"/>
                <w:b/>
                <w:bCs/>
                <w:kern w:val="0"/>
                <w:szCs w:val="24"/>
              </w:rPr>
              <w:t>建議</w:t>
            </w:r>
            <w:r w:rsidRPr="00901E0A">
              <w:rPr>
                <w:rFonts w:asciiTheme="majorEastAsia" w:eastAsiaTheme="majorEastAsia" w:hAnsiTheme="majorEastAsia" w:cs="新細明體"/>
                <w:b/>
                <w:kern w:val="0"/>
                <w:szCs w:val="24"/>
              </w:rPr>
              <w:t>:</w:t>
            </w:r>
          </w:p>
          <w:p w:rsidR="00901E0A" w:rsidRPr="00901E0A" w:rsidRDefault="00901E0A" w:rsidP="00901E0A">
            <w:pPr>
              <w:pStyle w:val="a4"/>
              <w:widowControl/>
              <w:numPr>
                <w:ilvl w:val="0"/>
                <w:numId w:val="3"/>
              </w:numPr>
              <w:spacing w:before="100" w:beforeAutospacing="1" w:after="100" w:afterAutospacing="1"/>
              <w:ind w:leftChars="0"/>
              <w:rPr>
                <w:rFonts w:asciiTheme="majorEastAsia" w:eastAsiaTheme="majorEastAsia" w:hAnsiTheme="majorEastAsia" w:cs="新細明體"/>
                <w:kern w:val="0"/>
                <w:szCs w:val="24"/>
              </w:rPr>
            </w:pPr>
            <w:r w:rsidRPr="00901E0A">
              <w:rPr>
                <w:rFonts w:asciiTheme="majorEastAsia" w:eastAsiaTheme="majorEastAsia" w:hAnsiTheme="majorEastAsia" w:cs="新細明體" w:hint="eastAsia"/>
                <w:kern w:val="0"/>
                <w:szCs w:val="24"/>
              </w:rPr>
              <w:t>加強病人及照顧者情緒健康支援，關注病人及家屬的困難及心理壓力</w:t>
            </w:r>
            <w:r w:rsidRPr="00901E0A">
              <w:rPr>
                <w:rFonts w:asciiTheme="majorEastAsia" w:eastAsiaTheme="majorEastAsia" w:hAnsiTheme="majorEastAsia" w:cs="新細明體"/>
                <w:kern w:val="0"/>
                <w:szCs w:val="24"/>
              </w:rPr>
              <w:t>;</w:t>
            </w:r>
          </w:p>
          <w:p w:rsidR="00901E0A" w:rsidRPr="00901E0A" w:rsidRDefault="00901E0A" w:rsidP="00901E0A">
            <w:pPr>
              <w:pStyle w:val="a4"/>
              <w:widowControl/>
              <w:numPr>
                <w:ilvl w:val="0"/>
                <w:numId w:val="3"/>
              </w:numPr>
              <w:spacing w:before="100" w:beforeAutospacing="1" w:after="100" w:afterAutospacing="1"/>
              <w:ind w:leftChars="0"/>
              <w:rPr>
                <w:rFonts w:asciiTheme="majorEastAsia" w:eastAsiaTheme="majorEastAsia" w:hAnsiTheme="majorEastAsia" w:cs="新細明體"/>
                <w:kern w:val="0"/>
                <w:szCs w:val="24"/>
              </w:rPr>
            </w:pPr>
            <w:r w:rsidRPr="00901E0A">
              <w:rPr>
                <w:rFonts w:asciiTheme="majorEastAsia" w:eastAsiaTheme="majorEastAsia" w:hAnsiTheme="majorEastAsia" w:cs="Times New Roman"/>
                <w:kern w:val="0"/>
                <w:szCs w:val="24"/>
              </w:rPr>
              <w:t>   </w:t>
            </w:r>
            <w:r w:rsidRPr="00901E0A">
              <w:rPr>
                <w:rFonts w:asciiTheme="majorEastAsia" w:eastAsiaTheme="majorEastAsia" w:hAnsiTheme="majorEastAsia" w:cs="新細明體" w:hint="eastAsia"/>
                <w:kern w:val="0"/>
                <w:szCs w:val="24"/>
              </w:rPr>
              <w:t>加強有關腦</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症服務的公眾教育</w:t>
            </w: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kern w:val="0"/>
                <w:szCs w:val="24"/>
              </w:rPr>
              <w:t>，如製作宣傳片，以減少市民對患者之誤解</w:t>
            </w:r>
            <w:r w:rsidRPr="00901E0A">
              <w:rPr>
                <w:rFonts w:asciiTheme="majorEastAsia" w:eastAsiaTheme="majorEastAsia" w:hAnsiTheme="majorEastAsia" w:cs="新細明體"/>
                <w:kern w:val="0"/>
                <w:szCs w:val="24"/>
              </w:rPr>
              <w:t>;</w:t>
            </w:r>
          </w:p>
          <w:p w:rsidR="00901E0A" w:rsidRPr="00901E0A" w:rsidRDefault="00901E0A" w:rsidP="00901E0A">
            <w:pPr>
              <w:pStyle w:val="a4"/>
              <w:widowControl/>
              <w:numPr>
                <w:ilvl w:val="0"/>
                <w:numId w:val="3"/>
              </w:numPr>
              <w:spacing w:before="100" w:beforeAutospacing="1" w:after="100" w:afterAutospacing="1"/>
              <w:ind w:leftChars="0"/>
              <w:rPr>
                <w:rFonts w:asciiTheme="majorEastAsia" w:eastAsiaTheme="majorEastAsia" w:hAnsiTheme="majorEastAsia" w:cs="新細明體"/>
                <w:kern w:val="0"/>
                <w:szCs w:val="24"/>
              </w:rPr>
            </w:pPr>
            <w:r w:rsidRPr="00901E0A">
              <w:rPr>
                <w:rFonts w:asciiTheme="majorEastAsia" w:eastAsiaTheme="majorEastAsia" w:hAnsiTheme="majorEastAsia" w:cs="Times New Roman"/>
                <w:kern w:val="0"/>
                <w:szCs w:val="24"/>
              </w:rPr>
              <w:t>   </w:t>
            </w:r>
            <w:r w:rsidRPr="00901E0A">
              <w:rPr>
                <w:rFonts w:asciiTheme="majorEastAsia" w:eastAsiaTheme="majorEastAsia" w:hAnsiTheme="majorEastAsia" w:cs="新細明體" w:hint="eastAsia"/>
                <w:kern w:val="0"/>
                <w:szCs w:val="24"/>
              </w:rPr>
              <w:t>跟進部分醫院部門尚未落實</w:t>
            </w:r>
            <w:r w:rsidRPr="00901E0A">
              <w:rPr>
                <w:rFonts w:asciiTheme="majorEastAsia" w:eastAsiaTheme="majorEastAsia" w:hAnsiTheme="majorEastAsia" w:cs="新細明體"/>
                <w:kern w:val="0"/>
                <w:szCs w:val="24"/>
              </w:rPr>
              <w:t>2010</w:t>
            </w:r>
            <w:r w:rsidRPr="00901E0A">
              <w:rPr>
                <w:rFonts w:asciiTheme="majorEastAsia" w:eastAsiaTheme="majorEastAsia" w:hAnsiTheme="majorEastAsia" w:cs="新細明體" w:hint="eastAsia"/>
                <w:kern w:val="0"/>
                <w:szCs w:val="24"/>
              </w:rPr>
              <w:t>年「癲癇症」已正名為「腦</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症」的安排</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hint="eastAsia"/>
                <w:kern w:val="0"/>
                <w:szCs w:val="24"/>
              </w:rPr>
              <w:t>局方承諾會就當日的討論事項盡快作出跟進，團體期望食衞局能安排於四個月後再次會面，回應及跟進病人的訴求。</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rPr>
            </w:pPr>
            <w:r w:rsidRPr="00901E0A">
              <w:rPr>
                <w:rFonts w:asciiTheme="majorEastAsia" w:eastAsiaTheme="majorEastAsia" w:hAnsiTheme="majorEastAsia" w:cs="新細明體" w:hint="eastAsia"/>
                <w:kern w:val="0"/>
                <w:szCs w:val="24"/>
              </w:rPr>
              <w:lastRenderedPageBreak/>
              <w:t>如欲知道更多有關本港腦</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症的醫療服務質素，可參閱本中心的「香港腦</w:t>
            </w:r>
            <w:proofErr w:type="gramStart"/>
            <w:r w:rsidRPr="00901E0A">
              <w:rPr>
                <w:rFonts w:asciiTheme="majorEastAsia" w:eastAsiaTheme="majorEastAsia" w:hAnsiTheme="majorEastAsia" w:cs="新細明體" w:hint="eastAsia"/>
                <w:kern w:val="0"/>
                <w:szCs w:val="24"/>
              </w:rPr>
              <w:t>癇</w:t>
            </w:r>
            <w:proofErr w:type="gramEnd"/>
            <w:r w:rsidRPr="00901E0A">
              <w:rPr>
                <w:rFonts w:asciiTheme="majorEastAsia" w:eastAsiaTheme="majorEastAsia" w:hAnsiTheme="majorEastAsia" w:cs="新細明體" w:hint="eastAsia"/>
                <w:kern w:val="0"/>
                <w:szCs w:val="24"/>
              </w:rPr>
              <w:t>症患者對醫療服務質素的滿意度」研究調查。</w:t>
            </w:r>
          </w:p>
          <w:p w:rsidR="00901E0A" w:rsidRPr="00901E0A" w:rsidRDefault="00901E0A" w:rsidP="00901E0A">
            <w:pPr>
              <w:widowControl/>
              <w:spacing w:before="100" w:beforeAutospacing="1" w:after="100" w:afterAutospacing="1"/>
              <w:rPr>
                <w:rFonts w:asciiTheme="majorEastAsia" w:eastAsiaTheme="majorEastAsia" w:hAnsiTheme="majorEastAsia" w:cs="新細明體"/>
                <w:kern w:val="0"/>
                <w:szCs w:val="24"/>
                <w:lang w:eastAsia="zh-HK"/>
              </w:rPr>
            </w:pP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b/>
                <w:kern w:val="0"/>
                <w:szCs w:val="24"/>
              </w:rPr>
            </w:pPr>
            <w:r w:rsidRPr="00901E0A">
              <w:rPr>
                <w:rFonts w:asciiTheme="majorEastAsia" w:eastAsiaTheme="majorEastAsia" w:hAnsiTheme="majorEastAsia" w:cs="新細明體" w:hint="eastAsia"/>
                <w:b/>
                <w:bCs/>
                <w:kern w:val="0"/>
                <w:szCs w:val="24"/>
              </w:rPr>
              <w:t>交流活動</w:t>
            </w:r>
          </w:p>
          <w:p w:rsidR="00901E0A" w:rsidRPr="00901E0A" w:rsidRDefault="00901E0A" w:rsidP="00901E0A">
            <w:pPr>
              <w:widowControl/>
              <w:spacing w:before="100" w:beforeAutospacing="1" w:after="100" w:afterAutospacing="1"/>
              <w:ind w:firstLine="480"/>
              <w:jc w:val="center"/>
              <w:rPr>
                <w:rFonts w:asciiTheme="majorEastAsia" w:eastAsiaTheme="majorEastAsia" w:hAnsiTheme="majorEastAsia" w:cs="新細明體"/>
                <w:b/>
                <w:kern w:val="0"/>
                <w:szCs w:val="24"/>
              </w:rPr>
            </w:pPr>
            <w:r w:rsidRPr="00901E0A">
              <w:rPr>
                <w:rFonts w:asciiTheme="majorEastAsia" w:eastAsiaTheme="majorEastAsia" w:hAnsiTheme="majorEastAsia" w:cs="新細明體" w:hint="eastAsia"/>
                <w:b/>
                <w:bCs/>
                <w:kern w:val="0"/>
                <w:szCs w:val="24"/>
              </w:rPr>
              <w:t>北京</w:t>
            </w:r>
            <w:r w:rsidRPr="00901E0A">
              <w:rPr>
                <w:rFonts w:asciiTheme="majorEastAsia" w:eastAsiaTheme="majorEastAsia" w:hAnsiTheme="majorEastAsia" w:cs="新細明體"/>
                <w:b/>
                <w:bCs/>
                <w:kern w:val="0"/>
                <w:szCs w:val="24"/>
              </w:rPr>
              <w:t>ICF</w:t>
            </w:r>
            <w:r w:rsidRPr="00901E0A">
              <w:rPr>
                <w:rFonts w:asciiTheme="majorEastAsia" w:eastAsiaTheme="majorEastAsia" w:hAnsiTheme="majorEastAsia" w:cs="新細明體" w:hint="eastAsia"/>
                <w:b/>
                <w:bCs/>
                <w:kern w:val="0"/>
                <w:szCs w:val="24"/>
              </w:rPr>
              <w:t>國際培訓班</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lang w:eastAsia="zh-HK"/>
              </w:rPr>
            </w:pPr>
            <w:r w:rsidRPr="00901E0A">
              <w:rPr>
                <w:rFonts w:asciiTheme="majorEastAsia" w:eastAsiaTheme="majorEastAsia" w:hAnsiTheme="majorEastAsia" w:cs="新細明體"/>
                <w:kern w:val="0"/>
                <w:szCs w:val="24"/>
              </w:rPr>
              <w:t>        </w:t>
            </w:r>
            <w:r w:rsidRPr="00901E0A">
              <w:rPr>
                <w:rFonts w:asciiTheme="majorEastAsia" w:eastAsiaTheme="majorEastAsia" w:hAnsiTheme="majorEastAsia" w:cs="新細明體" w:hint="eastAsia"/>
                <w:kern w:val="0"/>
                <w:szCs w:val="24"/>
              </w:rPr>
              <w:t>本會代表總監</w:t>
            </w:r>
            <w:r w:rsidRPr="00901E0A">
              <w:rPr>
                <w:rFonts w:asciiTheme="majorEastAsia" w:eastAsiaTheme="majorEastAsia" w:hAnsiTheme="majorEastAsia" w:cs="新細明體"/>
                <w:kern w:val="0"/>
                <w:szCs w:val="24"/>
              </w:rPr>
              <w:t>(</w:t>
            </w:r>
            <w:r w:rsidRPr="00901E0A">
              <w:rPr>
                <w:rFonts w:asciiTheme="majorEastAsia" w:eastAsiaTheme="majorEastAsia" w:hAnsiTheme="majorEastAsia" w:cs="新細明體" w:hint="eastAsia"/>
                <w:kern w:val="0"/>
                <w:szCs w:val="24"/>
              </w:rPr>
              <w:t>復康</w:t>
            </w:r>
            <w:r w:rsidRPr="00901E0A">
              <w:rPr>
                <w:rFonts w:asciiTheme="majorEastAsia" w:eastAsiaTheme="majorEastAsia" w:hAnsiTheme="majorEastAsia" w:cs="新細明體"/>
                <w:kern w:val="0"/>
                <w:szCs w:val="24"/>
              </w:rPr>
              <w:t>)</w:t>
            </w:r>
            <w:r w:rsidRPr="00901E0A">
              <w:rPr>
                <w:rFonts w:asciiTheme="majorEastAsia" w:eastAsiaTheme="majorEastAsia" w:hAnsiTheme="majorEastAsia" w:cs="新細明體" w:hint="eastAsia"/>
                <w:kern w:val="0"/>
                <w:szCs w:val="24"/>
              </w:rPr>
              <w:t>潘經光及</w:t>
            </w:r>
            <w:proofErr w:type="gramStart"/>
            <w:r w:rsidRPr="00901E0A">
              <w:rPr>
                <w:rFonts w:asciiTheme="majorEastAsia" w:eastAsiaTheme="majorEastAsia" w:hAnsiTheme="majorEastAsia" w:cs="新細明體" w:hint="eastAsia"/>
                <w:kern w:val="0"/>
                <w:szCs w:val="24"/>
              </w:rPr>
              <w:t>研倡</w:t>
            </w:r>
            <w:proofErr w:type="gramEnd"/>
            <w:r w:rsidRPr="00901E0A">
              <w:rPr>
                <w:rFonts w:asciiTheme="majorEastAsia" w:eastAsiaTheme="majorEastAsia" w:hAnsiTheme="majorEastAsia" w:cs="新細明體" w:hint="eastAsia"/>
                <w:kern w:val="0"/>
                <w:szCs w:val="24"/>
              </w:rPr>
              <w:t>中心經理熊德鳳女士參加了由世界衞生組織</w:t>
            </w:r>
            <w:r w:rsidRPr="00901E0A">
              <w:rPr>
                <w:rFonts w:asciiTheme="majorEastAsia" w:eastAsiaTheme="majorEastAsia" w:hAnsiTheme="majorEastAsia" w:cs="新細明體"/>
                <w:kern w:val="0"/>
                <w:szCs w:val="24"/>
              </w:rPr>
              <w:t>*</w:t>
            </w:r>
            <w:r w:rsidRPr="00901E0A">
              <w:rPr>
                <w:rFonts w:asciiTheme="majorEastAsia" w:eastAsiaTheme="majorEastAsia" w:hAnsiTheme="majorEastAsia" w:cs="新細明體" w:hint="eastAsia"/>
                <w:kern w:val="0"/>
                <w:szCs w:val="24"/>
              </w:rPr>
              <w:t>於十月十九日在北京舉辦的</w:t>
            </w:r>
            <w:r w:rsidRPr="00901E0A">
              <w:rPr>
                <w:rFonts w:asciiTheme="majorEastAsia" w:eastAsiaTheme="majorEastAsia" w:hAnsiTheme="majorEastAsia" w:cs="新細明體"/>
                <w:kern w:val="0"/>
                <w:szCs w:val="24"/>
              </w:rPr>
              <w:t>ICF</w:t>
            </w:r>
            <w:r w:rsidRPr="00901E0A">
              <w:rPr>
                <w:rFonts w:asciiTheme="majorEastAsia" w:eastAsiaTheme="majorEastAsia" w:hAnsiTheme="majorEastAsia" w:cs="新細明體" w:hint="eastAsia"/>
                <w:kern w:val="0"/>
                <w:szCs w:val="24"/>
              </w:rPr>
              <w:t>國際培訓班。來自意大利、澳洲、芬蘭及中國的著名專家講授</w:t>
            </w:r>
            <w:r w:rsidRPr="00901E0A">
              <w:rPr>
                <w:rFonts w:asciiTheme="majorEastAsia" w:eastAsiaTheme="majorEastAsia" w:hAnsiTheme="majorEastAsia" w:cs="新細明體"/>
                <w:kern w:val="0"/>
                <w:szCs w:val="24"/>
              </w:rPr>
              <w:t>ICF</w:t>
            </w:r>
            <w:r w:rsidRPr="00901E0A">
              <w:rPr>
                <w:rFonts w:asciiTheme="majorEastAsia" w:eastAsiaTheme="majorEastAsia" w:hAnsiTheme="majorEastAsia" w:cs="新細明體" w:hint="eastAsia"/>
                <w:kern w:val="0"/>
                <w:szCs w:val="24"/>
              </w:rPr>
              <w:t>的理論和方法及</w:t>
            </w:r>
            <w:r w:rsidRPr="00901E0A">
              <w:rPr>
                <w:rFonts w:asciiTheme="majorEastAsia" w:eastAsiaTheme="majorEastAsia" w:hAnsiTheme="majorEastAsia" w:cs="新細明體"/>
                <w:kern w:val="0"/>
                <w:szCs w:val="24"/>
              </w:rPr>
              <w:t>ICF</w:t>
            </w:r>
            <w:r w:rsidRPr="00901E0A">
              <w:rPr>
                <w:rFonts w:asciiTheme="majorEastAsia" w:eastAsiaTheme="majorEastAsia" w:hAnsiTheme="majorEastAsia" w:cs="新細明體" w:hint="eastAsia"/>
                <w:kern w:val="0"/>
                <w:szCs w:val="24"/>
              </w:rPr>
              <w:t>在不同領域的應用，當中包括</w:t>
            </w:r>
            <w:r w:rsidRPr="00901E0A">
              <w:rPr>
                <w:rFonts w:asciiTheme="majorEastAsia" w:eastAsiaTheme="majorEastAsia" w:hAnsiTheme="majorEastAsia" w:cs="新細明體"/>
                <w:kern w:val="0"/>
                <w:szCs w:val="24"/>
              </w:rPr>
              <w:t>ICF</w:t>
            </w:r>
            <w:r w:rsidRPr="00901E0A">
              <w:rPr>
                <w:rFonts w:asciiTheme="majorEastAsia" w:eastAsiaTheme="majorEastAsia" w:hAnsiTheme="majorEastAsia" w:cs="新細明體" w:hint="eastAsia"/>
                <w:kern w:val="0"/>
                <w:szCs w:val="24"/>
              </w:rPr>
              <w:t>在中國的框架、理論及執行、</w:t>
            </w:r>
            <w:r w:rsidRPr="00901E0A">
              <w:rPr>
                <w:rFonts w:asciiTheme="majorEastAsia" w:eastAsiaTheme="majorEastAsia" w:hAnsiTheme="majorEastAsia" w:cs="新細明體"/>
                <w:kern w:val="0"/>
                <w:szCs w:val="24"/>
              </w:rPr>
              <w:t>ICF</w:t>
            </w:r>
            <w:r w:rsidRPr="00901E0A">
              <w:rPr>
                <w:rFonts w:asciiTheme="majorEastAsia" w:eastAsiaTheme="majorEastAsia" w:hAnsiTheme="majorEastAsia" w:cs="新細明體" w:hint="eastAsia"/>
                <w:kern w:val="0"/>
                <w:szCs w:val="24"/>
              </w:rPr>
              <w:t>在意大利殘疾統計中的應用、</w:t>
            </w:r>
            <w:r w:rsidRPr="00901E0A">
              <w:rPr>
                <w:rFonts w:asciiTheme="majorEastAsia" w:eastAsiaTheme="majorEastAsia" w:hAnsiTheme="majorEastAsia" w:cs="新細明體"/>
                <w:kern w:val="0"/>
                <w:szCs w:val="24"/>
              </w:rPr>
              <w:t>ICF</w:t>
            </w:r>
            <w:r w:rsidRPr="00901E0A">
              <w:rPr>
                <w:rFonts w:asciiTheme="majorEastAsia" w:eastAsiaTheme="majorEastAsia" w:hAnsiTheme="majorEastAsia" w:cs="新細明體" w:hint="eastAsia"/>
                <w:kern w:val="0"/>
                <w:szCs w:val="24"/>
              </w:rPr>
              <w:t>在澳洲殘疾兒童臨床康復中的應用等。同工得到不少啟發，獲益良多，並會繼續致力推動『國際功能、殘疾與健康分類』</w:t>
            </w:r>
            <w:r w:rsidRPr="00901E0A">
              <w:rPr>
                <w:rFonts w:asciiTheme="majorEastAsia" w:eastAsiaTheme="majorEastAsia" w:hAnsiTheme="majorEastAsia" w:cs="新細明體"/>
                <w:kern w:val="0"/>
                <w:szCs w:val="24"/>
              </w:rPr>
              <w:t> ( ICF ) </w:t>
            </w:r>
            <w:r w:rsidRPr="00901E0A">
              <w:rPr>
                <w:rFonts w:asciiTheme="majorEastAsia" w:eastAsiaTheme="majorEastAsia" w:hAnsiTheme="majorEastAsia" w:cs="新細明體" w:hint="eastAsia"/>
                <w:kern w:val="0"/>
                <w:szCs w:val="24"/>
              </w:rPr>
              <w:t>在香港復康服務中的應用。</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lang w:eastAsia="zh-HK"/>
              </w:rPr>
            </w:pPr>
            <w:r w:rsidRPr="00901E0A">
              <w:rPr>
                <w:rFonts w:asciiTheme="majorEastAsia" w:eastAsiaTheme="majorEastAsia" w:hAnsiTheme="majorEastAsia" w:cs="新細明體" w:hint="eastAsia"/>
                <w:kern w:val="0"/>
                <w:szCs w:val="24"/>
              </w:rPr>
              <w:t>世界衞生組織國際分類家族中國合作中心，澳洲合作中心和意大利合作中心、中國康復研究中心康復信息研究所、世界衞生組織國際分類家族功能和殘疾專家委員會、“我們的家園”協辦</w:t>
            </w:r>
          </w:p>
          <w:p w:rsidR="00901E0A" w:rsidRPr="00901E0A" w:rsidRDefault="00901E0A" w:rsidP="00901E0A">
            <w:pPr>
              <w:widowControl/>
              <w:spacing w:before="100" w:beforeAutospacing="1" w:after="100" w:afterAutospacing="1"/>
              <w:ind w:firstLine="480"/>
              <w:rPr>
                <w:rFonts w:asciiTheme="majorEastAsia" w:eastAsiaTheme="majorEastAsia" w:hAnsiTheme="majorEastAsia" w:cs="新細明體"/>
                <w:kern w:val="0"/>
                <w:szCs w:val="24"/>
                <w:lang w:eastAsia="zh-HK"/>
              </w:rPr>
            </w:pPr>
            <w:r w:rsidRPr="00901E0A">
              <w:rPr>
                <w:rFonts w:asciiTheme="majorEastAsia" w:eastAsiaTheme="majorEastAsia" w:hAnsiTheme="majorEastAsia" w:cs="新細明體" w:hint="eastAsia"/>
                <w:kern w:val="0"/>
                <w:szCs w:val="24"/>
              </w:rPr>
              <w:t>感謝您閱讀我們的《研倡點滴》</w:t>
            </w:r>
            <w:r w:rsidRPr="00901E0A">
              <w:rPr>
                <w:rFonts w:asciiTheme="majorEastAsia" w:eastAsiaTheme="majorEastAsia" w:hAnsiTheme="majorEastAsia" w:cs="新細明體"/>
                <w:kern w:val="0"/>
                <w:szCs w:val="24"/>
              </w:rPr>
              <w:t>! </w:t>
            </w:r>
            <w:proofErr w:type="gramStart"/>
            <w:r w:rsidRPr="00901E0A">
              <w:rPr>
                <w:rFonts w:asciiTheme="majorEastAsia" w:eastAsiaTheme="majorEastAsia" w:hAnsiTheme="majorEastAsia" w:cs="新細明體" w:hint="eastAsia"/>
                <w:kern w:val="0"/>
                <w:szCs w:val="24"/>
              </w:rPr>
              <w:t>研倡</w:t>
            </w:r>
            <w:proofErr w:type="gramEnd"/>
            <w:r w:rsidRPr="00901E0A">
              <w:rPr>
                <w:rFonts w:asciiTheme="majorEastAsia" w:eastAsiaTheme="majorEastAsia" w:hAnsiTheme="majorEastAsia" w:cs="新細明體" w:hint="eastAsia"/>
                <w:kern w:val="0"/>
                <w:szCs w:val="24"/>
              </w:rPr>
              <w:t>中心的通訊已推出了四期，而我們正就通訊的內容及設計進行意見收集，希望您能花幾分鐘的時間完成有關今期通訊的意見調查，好讓我們日後能作出改善，謝謝</w:t>
            </w:r>
            <w:r w:rsidRPr="00901E0A">
              <w:rPr>
                <w:rFonts w:asciiTheme="majorEastAsia" w:eastAsiaTheme="majorEastAsia" w:hAnsiTheme="majorEastAsia" w:cs="新細明體"/>
                <w:kern w:val="0"/>
                <w:szCs w:val="24"/>
              </w:rPr>
              <w:t>!</w:t>
            </w:r>
          </w:p>
          <w:p w:rsidR="00901E0A" w:rsidRPr="00901E0A" w:rsidRDefault="00901E0A" w:rsidP="00901E0A">
            <w:pPr>
              <w:rPr>
                <w:kern w:val="0"/>
              </w:rPr>
            </w:pPr>
            <w:r w:rsidRPr="00901E0A">
              <w:rPr>
                <w:rFonts w:hint="eastAsia"/>
                <w:kern w:val="0"/>
              </w:rPr>
              <w:t>問卷網址如下</w:t>
            </w:r>
            <w:r w:rsidRPr="00901E0A">
              <w:rPr>
                <w:kern w:val="0"/>
              </w:rPr>
              <w:t>: </w:t>
            </w:r>
            <w:hyperlink r:id="rId7" w:history="1">
              <w:r w:rsidRPr="00901E0A">
                <w:rPr>
                  <w:color w:val="551A8B"/>
                  <w:kern w:val="0"/>
                  <w:u w:val="single"/>
                </w:rPr>
                <w:t>https://www.surveymonkey.com/s/cra_news4</w:t>
              </w:r>
            </w:hyperlink>
          </w:p>
          <w:p w:rsidR="00901E0A" w:rsidRPr="00901E0A" w:rsidRDefault="00901E0A" w:rsidP="00901E0A">
            <w:pPr>
              <w:rPr>
                <w:kern w:val="0"/>
              </w:rPr>
            </w:pPr>
            <w:r w:rsidRPr="00901E0A">
              <w:rPr>
                <w:rFonts w:hint="eastAsia"/>
                <w:kern w:val="0"/>
              </w:rPr>
              <w:t>完成問卷後，將可獲得限量精美紀念品乙份。</w:t>
            </w:r>
          </w:p>
          <w:p w:rsidR="00901E0A" w:rsidRPr="00901E0A" w:rsidRDefault="00901E0A" w:rsidP="00901E0A">
            <w:pPr>
              <w:rPr>
                <w:kern w:val="0"/>
                <w:lang w:eastAsia="zh-HK"/>
              </w:rPr>
            </w:pPr>
            <w:r w:rsidRPr="00901E0A">
              <w:rPr>
                <w:kern w:val="0"/>
              </w:rPr>
              <w:t> </w:t>
            </w:r>
          </w:p>
          <w:p w:rsidR="00901E0A" w:rsidRPr="00901E0A" w:rsidRDefault="00901E0A" w:rsidP="00901E0A">
            <w:pPr>
              <w:rPr>
                <w:kern w:val="0"/>
              </w:rPr>
            </w:pPr>
            <w:r w:rsidRPr="00901E0A">
              <w:rPr>
                <w:rFonts w:hint="eastAsia"/>
                <w:kern w:val="0"/>
              </w:rPr>
              <w:t>研究及倡議中心地址：九龍</w:t>
            </w:r>
            <w:proofErr w:type="gramStart"/>
            <w:r w:rsidRPr="00901E0A">
              <w:rPr>
                <w:rFonts w:hint="eastAsia"/>
                <w:kern w:val="0"/>
              </w:rPr>
              <w:t>藍田復康</w:t>
            </w:r>
            <w:proofErr w:type="gramEnd"/>
            <w:r w:rsidRPr="00901E0A">
              <w:rPr>
                <w:rFonts w:hint="eastAsia"/>
                <w:kern w:val="0"/>
              </w:rPr>
              <w:t>徑</w:t>
            </w:r>
            <w:r w:rsidRPr="00901E0A">
              <w:rPr>
                <w:kern w:val="0"/>
              </w:rPr>
              <w:t>7</w:t>
            </w:r>
            <w:r w:rsidRPr="00901E0A">
              <w:rPr>
                <w:rFonts w:hint="eastAsia"/>
                <w:kern w:val="0"/>
              </w:rPr>
              <w:t>號藍田綜合中心地下</w:t>
            </w:r>
            <w:r w:rsidRPr="00901E0A">
              <w:rPr>
                <w:kern w:val="0"/>
              </w:rPr>
              <w:t>14</w:t>
            </w:r>
            <w:r w:rsidRPr="00901E0A">
              <w:rPr>
                <w:rFonts w:hint="eastAsia"/>
                <w:kern w:val="0"/>
              </w:rPr>
              <w:t>號室</w:t>
            </w:r>
          </w:p>
          <w:p w:rsidR="00901E0A" w:rsidRPr="00901E0A" w:rsidRDefault="00901E0A" w:rsidP="00901E0A">
            <w:pPr>
              <w:rPr>
                <w:kern w:val="0"/>
              </w:rPr>
            </w:pPr>
            <w:r w:rsidRPr="00901E0A">
              <w:rPr>
                <w:rFonts w:hint="eastAsia"/>
                <w:kern w:val="0"/>
              </w:rPr>
              <w:t>電話：</w:t>
            </w:r>
            <w:r w:rsidRPr="00901E0A">
              <w:rPr>
                <w:kern w:val="0"/>
              </w:rPr>
              <w:t>2205 6336</w:t>
            </w:r>
          </w:p>
          <w:p w:rsidR="00901E0A" w:rsidRPr="00901E0A" w:rsidRDefault="00901E0A" w:rsidP="00901E0A">
            <w:pPr>
              <w:rPr>
                <w:kern w:val="0"/>
              </w:rPr>
            </w:pPr>
            <w:r w:rsidRPr="00901E0A">
              <w:rPr>
                <w:rFonts w:hint="eastAsia"/>
                <w:kern w:val="0"/>
              </w:rPr>
              <w:t>傳真：</w:t>
            </w:r>
            <w:r w:rsidRPr="00901E0A">
              <w:rPr>
                <w:kern w:val="0"/>
              </w:rPr>
              <w:t>2205 6166</w:t>
            </w:r>
          </w:p>
          <w:p w:rsidR="00901E0A" w:rsidRPr="00901E0A" w:rsidRDefault="00901E0A" w:rsidP="00901E0A">
            <w:pPr>
              <w:rPr>
                <w:kern w:val="0"/>
              </w:rPr>
            </w:pPr>
            <w:r w:rsidRPr="00901E0A">
              <w:rPr>
                <w:rFonts w:hint="eastAsia"/>
                <w:kern w:val="0"/>
              </w:rPr>
              <w:t>電郵：</w:t>
            </w:r>
            <w:r w:rsidRPr="00901E0A">
              <w:rPr>
                <w:kern w:val="0"/>
              </w:rPr>
              <w:t>cra@rehabsociety.org.hk</w:t>
            </w:r>
          </w:p>
        </w:tc>
      </w:tr>
    </w:tbl>
    <w:p w:rsidR="00D0384E" w:rsidRPr="00901E0A" w:rsidRDefault="00D0384E"/>
    <w:sectPr w:rsidR="00D0384E" w:rsidRPr="00901E0A" w:rsidSect="00901E0A">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8DB" w:rsidRDefault="00B108DB" w:rsidP="00C4064D">
      <w:r>
        <w:separator/>
      </w:r>
    </w:p>
  </w:endnote>
  <w:endnote w:type="continuationSeparator" w:id="0">
    <w:p w:rsidR="00B108DB" w:rsidRDefault="00B108DB" w:rsidP="00C406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8DB" w:rsidRDefault="00B108DB" w:rsidP="00C4064D">
      <w:r>
        <w:separator/>
      </w:r>
    </w:p>
  </w:footnote>
  <w:footnote w:type="continuationSeparator" w:id="0">
    <w:p w:rsidR="00B108DB" w:rsidRDefault="00B108DB" w:rsidP="00C406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E4DCD"/>
    <w:multiLevelType w:val="hybridMultilevel"/>
    <w:tmpl w:val="E8FC9DA4"/>
    <w:lvl w:ilvl="0" w:tplc="04090001">
      <w:start w:val="1"/>
      <w:numFmt w:val="bullet"/>
      <w:lvlText w:val=""/>
      <w:lvlJc w:val="left"/>
      <w:pPr>
        <w:ind w:left="1812" w:hanging="480"/>
      </w:pPr>
      <w:rPr>
        <w:rFonts w:ascii="Wingdings" w:hAnsi="Wingdings" w:hint="default"/>
      </w:rPr>
    </w:lvl>
    <w:lvl w:ilvl="1" w:tplc="04090003" w:tentative="1">
      <w:start w:val="1"/>
      <w:numFmt w:val="bullet"/>
      <w:lvlText w:val=""/>
      <w:lvlJc w:val="left"/>
      <w:pPr>
        <w:ind w:left="2292" w:hanging="480"/>
      </w:pPr>
      <w:rPr>
        <w:rFonts w:ascii="Wingdings" w:hAnsi="Wingdings" w:hint="default"/>
      </w:rPr>
    </w:lvl>
    <w:lvl w:ilvl="2" w:tplc="04090005" w:tentative="1">
      <w:start w:val="1"/>
      <w:numFmt w:val="bullet"/>
      <w:lvlText w:val=""/>
      <w:lvlJc w:val="left"/>
      <w:pPr>
        <w:ind w:left="2772" w:hanging="480"/>
      </w:pPr>
      <w:rPr>
        <w:rFonts w:ascii="Wingdings" w:hAnsi="Wingdings" w:hint="default"/>
      </w:rPr>
    </w:lvl>
    <w:lvl w:ilvl="3" w:tplc="04090001" w:tentative="1">
      <w:start w:val="1"/>
      <w:numFmt w:val="bullet"/>
      <w:lvlText w:val=""/>
      <w:lvlJc w:val="left"/>
      <w:pPr>
        <w:ind w:left="3252" w:hanging="480"/>
      </w:pPr>
      <w:rPr>
        <w:rFonts w:ascii="Wingdings" w:hAnsi="Wingdings" w:hint="default"/>
      </w:rPr>
    </w:lvl>
    <w:lvl w:ilvl="4" w:tplc="04090003" w:tentative="1">
      <w:start w:val="1"/>
      <w:numFmt w:val="bullet"/>
      <w:lvlText w:val=""/>
      <w:lvlJc w:val="left"/>
      <w:pPr>
        <w:ind w:left="3732" w:hanging="480"/>
      </w:pPr>
      <w:rPr>
        <w:rFonts w:ascii="Wingdings" w:hAnsi="Wingdings" w:hint="default"/>
      </w:rPr>
    </w:lvl>
    <w:lvl w:ilvl="5" w:tplc="04090005" w:tentative="1">
      <w:start w:val="1"/>
      <w:numFmt w:val="bullet"/>
      <w:lvlText w:val=""/>
      <w:lvlJc w:val="left"/>
      <w:pPr>
        <w:ind w:left="4212" w:hanging="480"/>
      </w:pPr>
      <w:rPr>
        <w:rFonts w:ascii="Wingdings" w:hAnsi="Wingdings" w:hint="default"/>
      </w:rPr>
    </w:lvl>
    <w:lvl w:ilvl="6" w:tplc="04090001" w:tentative="1">
      <w:start w:val="1"/>
      <w:numFmt w:val="bullet"/>
      <w:lvlText w:val=""/>
      <w:lvlJc w:val="left"/>
      <w:pPr>
        <w:ind w:left="4692" w:hanging="480"/>
      </w:pPr>
      <w:rPr>
        <w:rFonts w:ascii="Wingdings" w:hAnsi="Wingdings" w:hint="default"/>
      </w:rPr>
    </w:lvl>
    <w:lvl w:ilvl="7" w:tplc="04090003" w:tentative="1">
      <w:start w:val="1"/>
      <w:numFmt w:val="bullet"/>
      <w:lvlText w:val=""/>
      <w:lvlJc w:val="left"/>
      <w:pPr>
        <w:ind w:left="5172" w:hanging="480"/>
      </w:pPr>
      <w:rPr>
        <w:rFonts w:ascii="Wingdings" w:hAnsi="Wingdings" w:hint="default"/>
      </w:rPr>
    </w:lvl>
    <w:lvl w:ilvl="8" w:tplc="04090005" w:tentative="1">
      <w:start w:val="1"/>
      <w:numFmt w:val="bullet"/>
      <w:lvlText w:val=""/>
      <w:lvlJc w:val="left"/>
      <w:pPr>
        <w:ind w:left="5652" w:hanging="480"/>
      </w:pPr>
      <w:rPr>
        <w:rFonts w:ascii="Wingdings" w:hAnsi="Wingdings" w:hint="default"/>
      </w:rPr>
    </w:lvl>
  </w:abstractNum>
  <w:abstractNum w:abstractNumId="1">
    <w:nsid w:val="204D6609"/>
    <w:multiLevelType w:val="hybridMultilevel"/>
    <w:tmpl w:val="82BCCD7C"/>
    <w:lvl w:ilvl="0" w:tplc="04090001">
      <w:start w:val="1"/>
      <w:numFmt w:val="bullet"/>
      <w:lvlText w:val=""/>
      <w:lvlJc w:val="left"/>
      <w:pPr>
        <w:ind w:left="1812" w:hanging="480"/>
      </w:pPr>
      <w:rPr>
        <w:rFonts w:ascii="Wingdings" w:hAnsi="Wingdings" w:hint="default"/>
      </w:rPr>
    </w:lvl>
    <w:lvl w:ilvl="1" w:tplc="04090003" w:tentative="1">
      <w:start w:val="1"/>
      <w:numFmt w:val="bullet"/>
      <w:lvlText w:val=""/>
      <w:lvlJc w:val="left"/>
      <w:pPr>
        <w:ind w:left="2292" w:hanging="480"/>
      </w:pPr>
      <w:rPr>
        <w:rFonts w:ascii="Wingdings" w:hAnsi="Wingdings" w:hint="default"/>
      </w:rPr>
    </w:lvl>
    <w:lvl w:ilvl="2" w:tplc="04090005" w:tentative="1">
      <w:start w:val="1"/>
      <w:numFmt w:val="bullet"/>
      <w:lvlText w:val=""/>
      <w:lvlJc w:val="left"/>
      <w:pPr>
        <w:ind w:left="2772" w:hanging="480"/>
      </w:pPr>
      <w:rPr>
        <w:rFonts w:ascii="Wingdings" w:hAnsi="Wingdings" w:hint="default"/>
      </w:rPr>
    </w:lvl>
    <w:lvl w:ilvl="3" w:tplc="04090001" w:tentative="1">
      <w:start w:val="1"/>
      <w:numFmt w:val="bullet"/>
      <w:lvlText w:val=""/>
      <w:lvlJc w:val="left"/>
      <w:pPr>
        <w:ind w:left="3252" w:hanging="480"/>
      </w:pPr>
      <w:rPr>
        <w:rFonts w:ascii="Wingdings" w:hAnsi="Wingdings" w:hint="default"/>
      </w:rPr>
    </w:lvl>
    <w:lvl w:ilvl="4" w:tplc="04090003" w:tentative="1">
      <w:start w:val="1"/>
      <w:numFmt w:val="bullet"/>
      <w:lvlText w:val=""/>
      <w:lvlJc w:val="left"/>
      <w:pPr>
        <w:ind w:left="3732" w:hanging="480"/>
      </w:pPr>
      <w:rPr>
        <w:rFonts w:ascii="Wingdings" w:hAnsi="Wingdings" w:hint="default"/>
      </w:rPr>
    </w:lvl>
    <w:lvl w:ilvl="5" w:tplc="04090005" w:tentative="1">
      <w:start w:val="1"/>
      <w:numFmt w:val="bullet"/>
      <w:lvlText w:val=""/>
      <w:lvlJc w:val="left"/>
      <w:pPr>
        <w:ind w:left="4212" w:hanging="480"/>
      </w:pPr>
      <w:rPr>
        <w:rFonts w:ascii="Wingdings" w:hAnsi="Wingdings" w:hint="default"/>
      </w:rPr>
    </w:lvl>
    <w:lvl w:ilvl="6" w:tplc="04090001" w:tentative="1">
      <w:start w:val="1"/>
      <w:numFmt w:val="bullet"/>
      <w:lvlText w:val=""/>
      <w:lvlJc w:val="left"/>
      <w:pPr>
        <w:ind w:left="4692" w:hanging="480"/>
      </w:pPr>
      <w:rPr>
        <w:rFonts w:ascii="Wingdings" w:hAnsi="Wingdings" w:hint="default"/>
      </w:rPr>
    </w:lvl>
    <w:lvl w:ilvl="7" w:tplc="04090003" w:tentative="1">
      <w:start w:val="1"/>
      <w:numFmt w:val="bullet"/>
      <w:lvlText w:val=""/>
      <w:lvlJc w:val="left"/>
      <w:pPr>
        <w:ind w:left="5172" w:hanging="480"/>
      </w:pPr>
      <w:rPr>
        <w:rFonts w:ascii="Wingdings" w:hAnsi="Wingdings" w:hint="default"/>
      </w:rPr>
    </w:lvl>
    <w:lvl w:ilvl="8" w:tplc="04090005" w:tentative="1">
      <w:start w:val="1"/>
      <w:numFmt w:val="bullet"/>
      <w:lvlText w:val=""/>
      <w:lvlJc w:val="left"/>
      <w:pPr>
        <w:ind w:left="5652" w:hanging="480"/>
      </w:pPr>
      <w:rPr>
        <w:rFonts w:ascii="Wingdings" w:hAnsi="Wingdings" w:hint="default"/>
      </w:rPr>
    </w:lvl>
  </w:abstractNum>
  <w:abstractNum w:abstractNumId="2">
    <w:nsid w:val="68EF67A8"/>
    <w:multiLevelType w:val="hybridMultilevel"/>
    <w:tmpl w:val="ED2C6FC6"/>
    <w:lvl w:ilvl="0" w:tplc="04090001">
      <w:start w:val="1"/>
      <w:numFmt w:val="bullet"/>
      <w:lvlText w:val=""/>
      <w:lvlJc w:val="left"/>
      <w:pPr>
        <w:ind w:left="1812" w:hanging="480"/>
      </w:pPr>
      <w:rPr>
        <w:rFonts w:ascii="Wingdings" w:hAnsi="Wingdings" w:hint="default"/>
      </w:rPr>
    </w:lvl>
    <w:lvl w:ilvl="1" w:tplc="04090003" w:tentative="1">
      <w:start w:val="1"/>
      <w:numFmt w:val="bullet"/>
      <w:lvlText w:val=""/>
      <w:lvlJc w:val="left"/>
      <w:pPr>
        <w:ind w:left="2292" w:hanging="480"/>
      </w:pPr>
      <w:rPr>
        <w:rFonts w:ascii="Wingdings" w:hAnsi="Wingdings" w:hint="default"/>
      </w:rPr>
    </w:lvl>
    <w:lvl w:ilvl="2" w:tplc="04090005" w:tentative="1">
      <w:start w:val="1"/>
      <w:numFmt w:val="bullet"/>
      <w:lvlText w:val=""/>
      <w:lvlJc w:val="left"/>
      <w:pPr>
        <w:ind w:left="2772" w:hanging="480"/>
      </w:pPr>
      <w:rPr>
        <w:rFonts w:ascii="Wingdings" w:hAnsi="Wingdings" w:hint="default"/>
      </w:rPr>
    </w:lvl>
    <w:lvl w:ilvl="3" w:tplc="04090001" w:tentative="1">
      <w:start w:val="1"/>
      <w:numFmt w:val="bullet"/>
      <w:lvlText w:val=""/>
      <w:lvlJc w:val="left"/>
      <w:pPr>
        <w:ind w:left="3252" w:hanging="480"/>
      </w:pPr>
      <w:rPr>
        <w:rFonts w:ascii="Wingdings" w:hAnsi="Wingdings" w:hint="default"/>
      </w:rPr>
    </w:lvl>
    <w:lvl w:ilvl="4" w:tplc="04090003" w:tentative="1">
      <w:start w:val="1"/>
      <w:numFmt w:val="bullet"/>
      <w:lvlText w:val=""/>
      <w:lvlJc w:val="left"/>
      <w:pPr>
        <w:ind w:left="3732" w:hanging="480"/>
      </w:pPr>
      <w:rPr>
        <w:rFonts w:ascii="Wingdings" w:hAnsi="Wingdings" w:hint="default"/>
      </w:rPr>
    </w:lvl>
    <w:lvl w:ilvl="5" w:tplc="04090005" w:tentative="1">
      <w:start w:val="1"/>
      <w:numFmt w:val="bullet"/>
      <w:lvlText w:val=""/>
      <w:lvlJc w:val="left"/>
      <w:pPr>
        <w:ind w:left="4212" w:hanging="480"/>
      </w:pPr>
      <w:rPr>
        <w:rFonts w:ascii="Wingdings" w:hAnsi="Wingdings" w:hint="default"/>
      </w:rPr>
    </w:lvl>
    <w:lvl w:ilvl="6" w:tplc="04090001" w:tentative="1">
      <w:start w:val="1"/>
      <w:numFmt w:val="bullet"/>
      <w:lvlText w:val=""/>
      <w:lvlJc w:val="left"/>
      <w:pPr>
        <w:ind w:left="4692" w:hanging="480"/>
      </w:pPr>
      <w:rPr>
        <w:rFonts w:ascii="Wingdings" w:hAnsi="Wingdings" w:hint="default"/>
      </w:rPr>
    </w:lvl>
    <w:lvl w:ilvl="7" w:tplc="04090003" w:tentative="1">
      <w:start w:val="1"/>
      <w:numFmt w:val="bullet"/>
      <w:lvlText w:val=""/>
      <w:lvlJc w:val="left"/>
      <w:pPr>
        <w:ind w:left="5172" w:hanging="480"/>
      </w:pPr>
      <w:rPr>
        <w:rFonts w:ascii="Wingdings" w:hAnsi="Wingdings" w:hint="default"/>
      </w:rPr>
    </w:lvl>
    <w:lvl w:ilvl="8" w:tplc="04090005" w:tentative="1">
      <w:start w:val="1"/>
      <w:numFmt w:val="bullet"/>
      <w:lvlText w:val=""/>
      <w:lvlJc w:val="left"/>
      <w:pPr>
        <w:ind w:left="5652"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1E0A"/>
    <w:rsid w:val="000B674E"/>
    <w:rsid w:val="00190094"/>
    <w:rsid w:val="00364EED"/>
    <w:rsid w:val="004A4940"/>
    <w:rsid w:val="00901E0A"/>
    <w:rsid w:val="00B108DB"/>
    <w:rsid w:val="00C4064D"/>
    <w:rsid w:val="00D0384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94"/>
    <w:pPr>
      <w:widowControl w:val="0"/>
    </w:pPr>
  </w:style>
  <w:style w:type="paragraph" w:styleId="3">
    <w:name w:val="heading 3"/>
    <w:basedOn w:val="a"/>
    <w:link w:val="30"/>
    <w:uiPriority w:val="9"/>
    <w:qFormat/>
    <w:rsid w:val="0019009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90094"/>
    <w:rPr>
      <w:rFonts w:ascii="新細明體" w:eastAsia="新細明體" w:hAnsi="新細明體" w:cs="新細明體"/>
      <w:b/>
      <w:bCs/>
      <w:kern w:val="0"/>
      <w:sz w:val="27"/>
      <w:szCs w:val="27"/>
    </w:rPr>
  </w:style>
  <w:style w:type="character" w:styleId="a3">
    <w:name w:val="Strong"/>
    <w:basedOn w:val="a0"/>
    <w:uiPriority w:val="22"/>
    <w:qFormat/>
    <w:rsid w:val="00190094"/>
    <w:rPr>
      <w:b/>
      <w:bCs/>
    </w:rPr>
  </w:style>
  <w:style w:type="paragraph" w:styleId="a4">
    <w:name w:val="List Paragraph"/>
    <w:basedOn w:val="a"/>
    <w:uiPriority w:val="34"/>
    <w:qFormat/>
    <w:rsid w:val="00190094"/>
    <w:pPr>
      <w:ind w:leftChars="200" w:left="480"/>
    </w:pPr>
  </w:style>
  <w:style w:type="paragraph" w:styleId="Web">
    <w:name w:val="Normal (Web)"/>
    <w:basedOn w:val="a"/>
    <w:uiPriority w:val="99"/>
    <w:unhideWhenUsed/>
    <w:rsid w:val="00901E0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901E0A"/>
  </w:style>
  <w:style w:type="character" w:styleId="a5">
    <w:name w:val="Hyperlink"/>
    <w:basedOn w:val="a0"/>
    <w:uiPriority w:val="99"/>
    <w:semiHidden/>
    <w:unhideWhenUsed/>
    <w:rsid w:val="00901E0A"/>
    <w:rPr>
      <w:color w:val="0000FF"/>
      <w:u w:val="single"/>
    </w:rPr>
  </w:style>
  <w:style w:type="paragraph" w:styleId="a6">
    <w:name w:val="header"/>
    <w:basedOn w:val="a"/>
    <w:link w:val="a7"/>
    <w:uiPriority w:val="99"/>
    <w:semiHidden/>
    <w:unhideWhenUsed/>
    <w:rsid w:val="00C4064D"/>
    <w:pPr>
      <w:tabs>
        <w:tab w:val="center" w:pos="4153"/>
        <w:tab w:val="right" w:pos="8306"/>
      </w:tabs>
      <w:snapToGrid w:val="0"/>
    </w:pPr>
    <w:rPr>
      <w:sz w:val="20"/>
      <w:szCs w:val="20"/>
    </w:rPr>
  </w:style>
  <w:style w:type="character" w:customStyle="1" w:styleId="a7">
    <w:name w:val="頁首 字元"/>
    <w:basedOn w:val="a0"/>
    <w:link w:val="a6"/>
    <w:uiPriority w:val="99"/>
    <w:semiHidden/>
    <w:rsid w:val="00C4064D"/>
    <w:rPr>
      <w:sz w:val="20"/>
      <w:szCs w:val="20"/>
    </w:rPr>
  </w:style>
  <w:style w:type="paragraph" w:styleId="a8">
    <w:name w:val="footer"/>
    <w:basedOn w:val="a"/>
    <w:link w:val="a9"/>
    <w:uiPriority w:val="99"/>
    <w:semiHidden/>
    <w:unhideWhenUsed/>
    <w:rsid w:val="00C4064D"/>
    <w:pPr>
      <w:tabs>
        <w:tab w:val="center" w:pos="4153"/>
        <w:tab w:val="right" w:pos="8306"/>
      </w:tabs>
      <w:snapToGrid w:val="0"/>
    </w:pPr>
    <w:rPr>
      <w:sz w:val="20"/>
      <w:szCs w:val="20"/>
    </w:rPr>
  </w:style>
  <w:style w:type="character" w:customStyle="1" w:styleId="a9">
    <w:name w:val="頁尾 字元"/>
    <w:basedOn w:val="a0"/>
    <w:link w:val="a8"/>
    <w:uiPriority w:val="99"/>
    <w:semiHidden/>
    <w:rsid w:val="00C4064D"/>
    <w:rPr>
      <w:sz w:val="20"/>
      <w:szCs w:val="20"/>
    </w:rPr>
  </w:style>
</w:styles>
</file>

<file path=word/webSettings.xml><?xml version="1.0" encoding="utf-8"?>
<w:webSettings xmlns:r="http://schemas.openxmlformats.org/officeDocument/2006/relationships" xmlns:w="http://schemas.openxmlformats.org/wordprocessingml/2006/main">
  <w:divs>
    <w:div w:id="1974630744">
      <w:bodyDiv w:val="1"/>
      <w:marLeft w:val="0"/>
      <w:marRight w:val="0"/>
      <w:marTop w:val="0"/>
      <w:marBottom w:val="0"/>
      <w:divBdr>
        <w:top w:val="none" w:sz="0" w:space="0" w:color="auto"/>
        <w:left w:val="none" w:sz="0" w:space="0" w:color="auto"/>
        <w:bottom w:val="none" w:sz="0" w:space="0" w:color="auto"/>
        <w:right w:val="none" w:sz="0" w:space="0" w:color="auto"/>
      </w:divBdr>
      <w:divsChild>
        <w:div w:id="1249077442">
          <w:marLeft w:val="0"/>
          <w:marRight w:val="0"/>
          <w:marTop w:val="0"/>
          <w:marBottom w:val="0"/>
          <w:divBdr>
            <w:top w:val="none" w:sz="0" w:space="0" w:color="auto"/>
            <w:left w:val="none" w:sz="0" w:space="0" w:color="auto"/>
            <w:bottom w:val="none" w:sz="0" w:space="0" w:color="auto"/>
            <w:right w:val="none" w:sz="0" w:space="0" w:color="auto"/>
          </w:divBdr>
          <w:divsChild>
            <w:div w:id="1379279763">
              <w:marLeft w:val="0"/>
              <w:marRight w:val="0"/>
              <w:marTop w:val="0"/>
              <w:marBottom w:val="0"/>
              <w:divBdr>
                <w:top w:val="none" w:sz="0" w:space="0" w:color="auto"/>
                <w:left w:val="none" w:sz="0" w:space="0" w:color="auto"/>
                <w:bottom w:val="none" w:sz="0" w:space="0" w:color="auto"/>
                <w:right w:val="none" w:sz="0" w:space="0" w:color="auto"/>
              </w:divBdr>
              <w:divsChild>
                <w:div w:id="5623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rveymonkey.com/s/cra_news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461</Words>
  <Characters>2631</Characters>
  <Application>Microsoft Office Word</Application>
  <DocSecurity>0</DocSecurity>
  <Lines>21</Lines>
  <Paragraphs>6</Paragraphs>
  <ScaleCrop>false</ScaleCrop>
  <Company>Hewlett-Packard</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2</cp:revision>
  <dcterms:created xsi:type="dcterms:W3CDTF">2016-01-25T02:50:00Z</dcterms:created>
  <dcterms:modified xsi:type="dcterms:W3CDTF">2016-01-25T02:57:00Z</dcterms:modified>
</cp:coreProperties>
</file>