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D94" w:rsidRPr="00EE1D94" w:rsidRDefault="00EE1D94" w:rsidP="00EE1D94">
      <w:pPr>
        <w:widowControl/>
        <w:outlineLvl w:val="2"/>
        <w:rPr>
          <w:rFonts w:ascii="新細明體" w:eastAsia="新細明體" w:hAnsi="新細明體" w:cs="新細明體"/>
          <w:b/>
          <w:bCs/>
          <w:color w:val="000000"/>
          <w:kern w:val="0"/>
          <w:sz w:val="30"/>
          <w:szCs w:val="30"/>
        </w:rPr>
      </w:pPr>
      <w:r w:rsidRPr="00EE1D94">
        <w:rPr>
          <w:rFonts w:ascii="新細明體" w:eastAsia="新細明體" w:hAnsi="新細明體" w:cs="新細明體"/>
          <w:b/>
          <w:bCs/>
          <w:color w:val="000000"/>
          <w:kern w:val="0"/>
          <w:sz w:val="30"/>
          <w:szCs w:val="30"/>
        </w:rPr>
        <w:t>《研倡點滴》第二期 (四月號)</w:t>
      </w:r>
    </w:p>
    <w:tbl>
      <w:tblPr>
        <w:tblW w:w="10909" w:type="dxa"/>
        <w:tblCellSpacing w:w="0" w:type="dxa"/>
        <w:tblCellMar>
          <w:top w:w="15" w:type="dxa"/>
          <w:left w:w="15" w:type="dxa"/>
          <w:bottom w:w="15" w:type="dxa"/>
          <w:right w:w="15" w:type="dxa"/>
        </w:tblCellMar>
        <w:tblLook w:val="04A0"/>
      </w:tblPr>
      <w:tblGrid>
        <w:gridCol w:w="10909"/>
      </w:tblGrid>
      <w:tr w:rsidR="00EE1D94" w:rsidRPr="00EE1D94" w:rsidTr="00EE1D94">
        <w:trPr>
          <w:tblCellSpacing w:w="0" w:type="dxa"/>
        </w:trPr>
        <w:tc>
          <w:tcPr>
            <w:tcW w:w="0" w:type="auto"/>
            <w:tcMar>
              <w:top w:w="136" w:type="dxa"/>
              <w:left w:w="136" w:type="dxa"/>
              <w:bottom w:w="136" w:type="dxa"/>
              <w:right w:w="136" w:type="dxa"/>
            </w:tcMar>
            <w:hideMark/>
          </w:tcPr>
          <w:p w:rsidR="00EE1D94" w:rsidRPr="00EE1D94" w:rsidRDefault="00EE1D94" w:rsidP="00EE1D94">
            <w:pPr>
              <w:widowControl/>
              <w:spacing w:before="100" w:beforeAutospacing="1" w:after="100" w:afterAutospacing="1"/>
              <w:jc w:val="center"/>
              <w:rPr>
                <w:rFonts w:ascii="新細明體" w:eastAsia="新細明體" w:hAnsi="新細明體" w:cs="新細明體"/>
                <w:kern w:val="0"/>
                <w:szCs w:val="24"/>
              </w:rPr>
            </w:pPr>
            <w:r w:rsidRPr="00EE1D94">
              <w:rPr>
                <w:rFonts w:ascii="新細明體" w:eastAsia="新細明體" w:hAnsi="新細明體" w:cs="新細明體" w:hint="eastAsia"/>
                <w:b/>
                <w:bCs/>
                <w:kern w:val="0"/>
                <w:sz w:val="28"/>
                <w:szCs w:val="28"/>
              </w:rPr>
              <w:t>香港</w:t>
            </w:r>
            <w:proofErr w:type="gramStart"/>
            <w:r w:rsidRPr="00EE1D94">
              <w:rPr>
                <w:rFonts w:ascii="新細明體" w:eastAsia="新細明體" w:hAnsi="新細明體" w:cs="新細明體" w:hint="eastAsia"/>
                <w:b/>
                <w:bCs/>
                <w:kern w:val="0"/>
                <w:sz w:val="28"/>
                <w:szCs w:val="28"/>
              </w:rPr>
              <w:t>復康會研究</w:t>
            </w:r>
            <w:proofErr w:type="gramEnd"/>
            <w:r w:rsidRPr="00EE1D94">
              <w:rPr>
                <w:rFonts w:ascii="新細明體" w:eastAsia="新細明體" w:hAnsi="新細明體" w:cs="新細明體" w:hint="eastAsia"/>
                <w:b/>
                <w:bCs/>
                <w:kern w:val="0"/>
                <w:sz w:val="28"/>
                <w:szCs w:val="28"/>
              </w:rPr>
              <w:t>及倡議中心</w:t>
            </w:r>
          </w:p>
          <w:p w:rsidR="00EE1D94" w:rsidRPr="00EE1D94" w:rsidRDefault="00EE1D94" w:rsidP="00EE1D94">
            <w:pPr>
              <w:widowControl/>
              <w:spacing w:before="100" w:beforeAutospacing="1" w:after="100" w:afterAutospacing="1"/>
              <w:jc w:val="center"/>
              <w:rPr>
                <w:rFonts w:ascii="新細明體" w:eastAsia="新細明體" w:hAnsi="新細明體" w:cs="新細明體"/>
                <w:kern w:val="0"/>
                <w:szCs w:val="24"/>
              </w:rPr>
            </w:pPr>
            <w:r w:rsidRPr="00EE1D94">
              <w:rPr>
                <w:rFonts w:ascii="新細明體" w:eastAsia="新細明體" w:hAnsi="新細明體" w:cs="新細明體" w:hint="eastAsia"/>
                <w:b/>
                <w:bCs/>
                <w:kern w:val="0"/>
                <w:sz w:val="28"/>
                <w:szCs w:val="28"/>
              </w:rPr>
              <w:t>研究及倡議中心通訊《研倡點滴》第二期</w:t>
            </w:r>
          </w:p>
          <w:p w:rsidR="00EE1D94" w:rsidRPr="00EE1D94" w:rsidRDefault="00EE1D94" w:rsidP="00EE1D94">
            <w:pPr>
              <w:widowControl/>
              <w:wordWrap w:val="0"/>
              <w:spacing w:before="100" w:beforeAutospacing="1" w:after="100" w:afterAutospacing="1"/>
              <w:jc w:val="center"/>
              <w:rPr>
                <w:rFonts w:ascii="新細明體" w:eastAsia="新細明體" w:hAnsi="新細明體" w:cs="新細明體"/>
                <w:kern w:val="0"/>
                <w:szCs w:val="24"/>
              </w:rPr>
            </w:pPr>
            <w:r w:rsidRPr="00EE1D94">
              <w:rPr>
                <w:rFonts w:ascii="新細明體" w:eastAsia="新細明體" w:hAnsi="新細明體" w:cs="新細明體" w:hint="eastAsia"/>
                <w:b/>
                <w:bCs/>
                <w:kern w:val="0"/>
                <w:sz w:val="28"/>
                <w:szCs w:val="28"/>
              </w:rPr>
              <w:t>二零一三年四月</w:t>
            </w:r>
          </w:p>
          <w:p w:rsidR="00EE1D94" w:rsidRPr="00EE1D94" w:rsidRDefault="00EE1D94" w:rsidP="00EE1D94">
            <w:pPr>
              <w:widowControl/>
              <w:spacing w:before="100" w:beforeAutospacing="1" w:after="100" w:afterAutospacing="1"/>
              <w:ind w:right="120"/>
              <w:jc w:val="right"/>
              <w:rPr>
                <w:rFonts w:ascii="新細明體" w:eastAsia="新細明體" w:hAnsi="新細明體" w:cs="新細明體" w:hint="eastAsia"/>
                <w:kern w:val="0"/>
                <w:szCs w:val="24"/>
                <w:lang w:eastAsia="zh-HK"/>
              </w:rPr>
            </w:pPr>
          </w:p>
          <w:p w:rsidR="00EE1D94" w:rsidRPr="00EE1D94" w:rsidRDefault="00EE1D94" w:rsidP="00EE1D94">
            <w:pPr>
              <w:widowControl/>
              <w:spacing w:before="100" w:beforeAutospacing="1" w:after="100" w:afterAutospacing="1"/>
              <w:ind w:firstLine="480"/>
              <w:rPr>
                <w:rFonts w:ascii="新細明體" w:eastAsia="新細明體" w:hAnsi="新細明體" w:cs="新細明體"/>
                <w:kern w:val="0"/>
                <w:szCs w:val="24"/>
              </w:rPr>
            </w:pPr>
            <w:r w:rsidRPr="00EE1D94">
              <w:rPr>
                <w:rFonts w:ascii="新細明體" w:eastAsia="新細明體" w:hAnsi="新細明體" w:cs="新細明體" w:hint="eastAsia"/>
                <w:kern w:val="0"/>
                <w:szCs w:val="24"/>
              </w:rPr>
              <w:t>香港</w:t>
            </w:r>
            <w:proofErr w:type="gramStart"/>
            <w:r w:rsidRPr="00EE1D94">
              <w:rPr>
                <w:rFonts w:ascii="新細明體" w:eastAsia="新細明體" w:hAnsi="新細明體" w:cs="新細明體" w:hint="eastAsia"/>
                <w:kern w:val="0"/>
                <w:szCs w:val="24"/>
              </w:rPr>
              <w:t>復康會研究</w:t>
            </w:r>
            <w:proofErr w:type="gramEnd"/>
            <w:r w:rsidRPr="00EE1D94">
              <w:rPr>
                <w:rFonts w:ascii="新細明體" w:eastAsia="新細明體" w:hAnsi="新細明體" w:cs="新細明體" w:hint="eastAsia"/>
                <w:kern w:val="0"/>
                <w:szCs w:val="24"/>
              </w:rPr>
              <w:t>及倡議中心通訊由今期起正式命名為「</w:t>
            </w:r>
            <w:proofErr w:type="gramStart"/>
            <w:r w:rsidRPr="00EE1D94">
              <w:rPr>
                <w:rFonts w:ascii="新細明體" w:eastAsia="新細明體" w:hAnsi="新細明體" w:cs="新細明體" w:hint="eastAsia"/>
                <w:kern w:val="0"/>
                <w:szCs w:val="24"/>
              </w:rPr>
              <w:t>研倡</w:t>
            </w:r>
            <w:proofErr w:type="gramEnd"/>
            <w:r w:rsidRPr="00EE1D94">
              <w:rPr>
                <w:rFonts w:ascii="新細明體" w:eastAsia="新細明體" w:hAnsi="新細明體" w:cs="新細明體" w:hint="eastAsia"/>
                <w:kern w:val="0"/>
                <w:szCs w:val="24"/>
              </w:rPr>
              <w:t>點滴」。我們希望以輕鬆有趣的方式，與大家分享我們在研究及倡議方面的點點滴滴。我們亦都希望這些</w:t>
            </w:r>
            <w:proofErr w:type="gramStart"/>
            <w:r w:rsidRPr="00EE1D94">
              <w:rPr>
                <w:rFonts w:ascii="新細明體" w:eastAsia="新細明體" w:hAnsi="新細明體" w:cs="新細明體" w:hint="eastAsia"/>
                <w:kern w:val="0"/>
                <w:szCs w:val="24"/>
              </w:rPr>
              <w:t>研倡</w:t>
            </w:r>
            <w:proofErr w:type="gramEnd"/>
            <w:r w:rsidRPr="00EE1D94">
              <w:rPr>
                <w:rFonts w:ascii="新細明體" w:eastAsia="新細明體" w:hAnsi="新細明體" w:cs="新細明體" w:hint="eastAsia"/>
                <w:kern w:val="0"/>
                <w:szCs w:val="24"/>
              </w:rPr>
              <w:t>的歷程能夠喚起大家對不同殘疾相關議題的認識和關注。</w:t>
            </w:r>
          </w:p>
          <w:p w:rsidR="00EE1D94" w:rsidRPr="00EE1D94" w:rsidRDefault="00EE1D94" w:rsidP="00EE1D94">
            <w:pPr>
              <w:widowControl/>
              <w:spacing w:before="100" w:beforeAutospacing="1" w:after="100" w:afterAutospacing="1"/>
              <w:jc w:val="right"/>
              <w:rPr>
                <w:rFonts w:ascii="新細明體" w:eastAsia="新細明體" w:hAnsi="新細明體" w:cs="新細明體"/>
                <w:kern w:val="0"/>
                <w:szCs w:val="24"/>
              </w:rPr>
            </w:pPr>
            <w:r w:rsidRPr="00EE1D94">
              <w:rPr>
                <w:rFonts w:ascii="新細明體" w:eastAsia="新細明體" w:hAnsi="新細明體" w:cs="新細明體"/>
                <w:kern w:val="0"/>
                <w:szCs w:val="24"/>
              </w:rPr>
              <w:t> </w:t>
            </w:r>
          </w:p>
          <w:p w:rsidR="00EE1D94" w:rsidRPr="00EE1D94" w:rsidRDefault="00EE1D94" w:rsidP="00EE1D94">
            <w:pPr>
              <w:widowControl/>
              <w:spacing w:before="100" w:beforeAutospacing="1" w:after="100" w:afterAutospacing="1"/>
              <w:rPr>
                <w:rFonts w:ascii="新細明體" w:eastAsia="新細明體" w:hAnsi="新細明體" w:cs="新細明體"/>
                <w:kern w:val="0"/>
                <w:szCs w:val="24"/>
              </w:rPr>
            </w:pPr>
            <w:proofErr w:type="gramStart"/>
            <w:r w:rsidRPr="00EE1D94">
              <w:rPr>
                <w:rFonts w:ascii="新細明體" w:eastAsia="新細明體" w:hAnsi="新細明體" w:cs="新細明體" w:hint="eastAsia"/>
                <w:b/>
                <w:bCs/>
                <w:kern w:val="0"/>
                <w:szCs w:val="24"/>
              </w:rPr>
              <w:t>研倡</w:t>
            </w:r>
            <w:proofErr w:type="gramEnd"/>
            <w:r w:rsidRPr="00EE1D94">
              <w:rPr>
                <w:rFonts w:ascii="新細明體" w:eastAsia="新細明體" w:hAnsi="新細明體" w:cs="新細明體" w:hint="eastAsia"/>
                <w:b/>
                <w:bCs/>
                <w:kern w:val="0"/>
                <w:szCs w:val="24"/>
              </w:rPr>
              <w:t>活動</w:t>
            </w:r>
          </w:p>
          <w:p w:rsidR="00EE1D94" w:rsidRPr="00EE1D94" w:rsidRDefault="00EE1D94" w:rsidP="00EE1D94">
            <w:pPr>
              <w:widowControl/>
              <w:spacing w:before="100" w:beforeAutospacing="1" w:after="100" w:afterAutospacing="1"/>
              <w:jc w:val="center"/>
              <w:rPr>
                <w:rFonts w:ascii="新細明體" w:eastAsia="新細明體" w:hAnsi="新細明體" w:cs="新細明體"/>
                <w:kern w:val="0"/>
                <w:szCs w:val="24"/>
              </w:rPr>
            </w:pPr>
            <w:r w:rsidRPr="00EE1D94">
              <w:rPr>
                <w:rFonts w:ascii="新細明體" w:eastAsia="新細明體" w:hAnsi="新細明體" w:cs="新細明體"/>
                <w:b/>
                <w:bCs/>
                <w:kern w:val="0"/>
                <w:szCs w:val="24"/>
              </w:rPr>
              <w:t>2013</w:t>
            </w:r>
            <w:r w:rsidRPr="00EE1D94">
              <w:rPr>
                <w:rFonts w:ascii="新細明體" w:eastAsia="新細明體" w:hAnsi="新細明體" w:cs="新細明體" w:hint="eastAsia"/>
                <w:b/>
                <w:bCs/>
                <w:kern w:val="0"/>
                <w:szCs w:val="24"/>
              </w:rPr>
              <w:t>年</w:t>
            </w:r>
            <w:r w:rsidRPr="00EE1D94">
              <w:rPr>
                <w:rFonts w:ascii="新細明體" w:eastAsia="新細明體" w:hAnsi="新細明體" w:cs="新細明體"/>
                <w:b/>
                <w:bCs/>
                <w:kern w:val="0"/>
                <w:szCs w:val="24"/>
              </w:rPr>
              <w:t>1</w:t>
            </w:r>
            <w:r w:rsidRPr="00EE1D94">
              <w:rPr>
                <w:rFonts w:ascii="新細明體" w:eastAsia="新細明體" w:hAnsi="新細明體" w:cs="新細明體" w:hint="eastAsia"/>
                <w:b/>
                <w:bCs/>
                <w:kern w:val="0"/>
                <w:szCs w:val="24"/>
              </w:rPr>
              <w:t>月</w:t>
            </w:r>
            <w:r w:rsidRPr="00EE1D94">
              <w:rPr>
                <w:rFonts w:ascii="新細明體" w:eastAsia="新細明體" w:hAnsi="新細明體" w:cs="新細明體"/>
                <w:b/>
                <w:bCs/>
                <w:kern w:val="0"/>
                <w:szCs w:val="24"/>
              </w:rPr>
              <w:t>26</w:t>
            </w:r>
            <w:r w:rsidRPr="00EE1D94">
              <w:rPr>
                <w:rFonts w:ascii="新細明體" w:eastAsia="新細明體" w:hAnsi="新細明體" w:cs="新細明體" w:hint="eastAsia"/>
                <w:b/>
                <w:bCs/>
                <w:kern w:val="0"/>
                <w:szCs w:val="24"/>
              </w:rPr>
              <w:t>日「國際功能、殘疾及健康分類」研討會</w:t>
            </w:r>
          </w:p>
          <w:p w:rsidR="00EE1D94" w:rsidRPr="00EE1D94" w:rsidRDefault="00EE1D94" w:rsidP="00EE1D94">
            <w:pPr>
              <w:widowControl/>
              <w:spacing w:before="100" w:beforeAutospacing="1" w:after="100" w:afterAutospacing="1"/>
              <w:ind w:firstLine="480"/>
              <w:rPr>
                <w:rFonts w:ascii="新細明體" w:eastAsia="新細明體" w:hAnsi="新細明體" w:cs="新細明體"/>
                <w:kern w:val="0"/>
                <w:szCs w:val="24"/>
              </w:rPr>
            </w:pPr>
            <w:r w:rsidRPr="00EE1D94">
              <w:rPr>
                <w:rFonts w:ascii="新細明體" w:eastAsia="新細明體" w:hAnsi="新細明體" w:cs="新細明體" w:hint="eastAsia"/>
                <w:kern w:val="0"/>
                <w:szCs w:val="24"/>
              </w:rPr>
              <w:t>本會和香港理工大學康復治療科學系合辦，並由香港理工大學應用社會科學系社會政策研究中心、病人互助組織聯盟和關注傷殘津貼檢討聯席協辦的「國際功能、殘疾與健康分類」研討會，已於</w:t>
            </w:r>
            <w:r w:rsidRPr="00EE1D94">
              <w:rPr>
                <w:rFonts w:ascii="新細明體" w:eastAsia="新細明體" w:hAnsi="新細明體" w:cs="新細明體"/>
                <w:kern w:val="0"/>
                <w:szCs w:val="24"/>
              </w:rPr>
              <w:t>2013</w:t>
            </w:r>
            <w:r w:rsidRPr="00EE1D94">
              <w:rPr>
                <w:rFonts w:ascii="新細明體" w:eastAsia="新細明體" w:hAnsi="新細明體" w:cs="新細明體" w:hint="eastAsia"/>
                <w:kern w:val="0"/>
                <w:szCs w:val="24"/>
              </w:rPr>
              <w:t>年</w:t>
            </w:r>
            <w:r w:rsidRPr="00EE1D94">
              <w:rPr>
                <w:rFonts w:ascii="新細明體" w:eastAsia="新細明體" w:hAnsi="新細明體" w:cs="新細明體"/>
                <w:kern w:val="0"/>
                <w:szCs w:val="24"/>
              </w:rPr>
              <w:t>1</w:t>
            </w:r>
            <w:r w:rsidRPr="00EE1D94">
              <w:rPr>
                <w:rFonts w:ascii="新細明體" w:eastAsia="新細明體" w:hAnsi="新細明體" w:cs="新細明體" w:hint="eastAsia"/>
                <w:kern w:val="0"/>
                <w:szCs w:val="24"/>
              </w:rPr>
              <w:t>月</w:t>
            </w:r>
            <w:r w:rsidRPr="00EE1D94">
              <w:rPr>
                <w:rFonts w:ascii="新細明體" w:eastAsia="新細明體" w:hAnsi="新細明體" w:cs="新細明體"/>
                <w:kern w:val="0"/>
                <w:szCs w:val="24"/>
              </w:rPr>
              <w:t>26</w:t>
            </w:r>
            <w:r w:rsidRPr="00EE1D94">
              <w:rPr>
                <w:rFonts w:ascii="新細明體" w:eastAsia="新細明體" w:hAnsi="新細明體" w:cs="新細明體" w:hint="eastAsia"/>
                <w:kern w:val="0"/>
                <w:szCs w:val="24"/>
              </w:rPr>
              <w:t>日假香港理工大學順利舉行，共有約</w:t>
            </w:r>
            <w:r w:rsidRPr="00EE1D94">
              <w:rPr>
                <w:rFonts w:ascii="新細明體" w:eastAsia="新細明體" w:hAnsi="新細明體" w:cs="新細明體"/>
                <w:kern w:val="0"/>
                <w:szCs w:val="24"/>
              </w:rPr>
              <w:t>130</w:t>
            </w:r>
            <w:r w:rsidRPr="00EE1D94">
              <w:rPr>
                <w:rFonts w:ascii="新細明體" w:eastAsia="新細明體" w:hAnsi="新細明體" w:cs="新細明體" w:hint="eastAsia"/>
                <w:kern w:val="0"/>
                <w:szCs w:val="24"/>
              </w:rPr>
              <w:t>名參加者。</w:t>
            </w:r>
          </w:p>
          <w:p w:rsidR="00EE1D94" w:rsidRPr="00EE1D94" w:rsidRDefault="00EE1D94" w:rsidP="00EE1D94">
            <w:pPr>
              <w:widowControl/>
              <w:spacing w:before="100" w:beforeAutospacing="1" w:after="100" w:afterAutospacing="1"/>
              <w:ind w:firstLine="480"/>
              <w:rPr>
                <w:rFonts w:ascii="新細明體" w:eastAsia="新細明體" w:hAnsi="新細明體" w:cs="新細明體"/>
                <w:kern w:val="0"/>
                <w:szCs w:val="24"/>
              </w:rPr>
            </w:pPr>
            <w:r w:rsidRPr="00EE1D94">
              <w:rPr>
                <w:rFonts w:ascii="新細明體" w:eastAsia="新細明體" w:hAnsi="新細明體" w:cs="新細明體"/>
                <w:kern w:val="0"/>
                <w:szCs w:val="24"/>
              </w:rPr>
              <w:t> </w:t>
            </w:r>
          </w:p>
          <w:p w:rsidR="00EE1D94" w:rsidRPr="00EE1D94" w:rsidRDefault="00EE1D94" w:rsidP="00EE1D94">
            <w:pPr>
              <w:widowControl/>
              <w:spacing w:before="100" w:beforeAutospacing="1" w:after="100" w:afterAutospacing="1"/>
              <w:ind w:firstLine="480"/>
              <w:rPr>
                <w:rFonts w:ascii="新細明體" w:eastAsia="新細明體" w:hAnsi="新細明體" w:cs="新細明體" w:hint="eastAsia"/>
                <w:kern w:val="0"/>
                <w:szCs w:val="24"/>
              </w:rPr>
            </w:pPr>
            <w:r w:rsidRPr="00EE1D94">
              <w:rPr>
                <w:rFonts w:ascii="新細明體" w:eastAsia="新細明體" w:hAnsi="新細明體" w:cs="新細明體" w:hint="eastAsia"/>
                <w:kern w:val="0"/>
                <w:szCs w:val="24"/>
              </w:rPr>
              <w:t>研討會當天，香港理工大學康復治療科學系講座教授陳智軒教授、助理教授陳子頌博士和臺灣醫學大學公共衛生暨營養學院劉燦宏副教授分別分享「國際功能、殘疾與健康分類」</w:t>
            </w:r>
            <w:r w:rsidRPr="00EE1D94">
              <w:rPr>
                <w:rFonts w:ascii="新細明體" w:eastAsia="新細明體" w:hAnsi="新細明體" w:cs="新細明體"/>
                <w:kern w:val="0"/>
                <w:szCs w:val="24"/>
              </w:rPr>
              <w:t>(ICF)</w:t>
            </w:r>
            <w:r w:rsidRPr="00EE1D94">
              <w:rPr>
                <w:rFonts w:ascii="新細明體" w:eastAsia="新細明體" w:hAnsi="新細明體" w:cs="新細明體" w:hint="eastAsia"/>
                <w:kern w:val="0"/>
                <w:szCs w:val="24"/>
              </w:rPr>
              <w:t>的理念和應用。東華醫院康復科顧問醫生李常威醫生、立法會議員張超雄博士、病人互助組織聯盟外務副主席林志</w:t>
            </w:r>
            <w:proofErr w:type="gramStart"/>
            <w:r w:rsidRPr="00EE1D94">
              <w:rPr>
                <w:rFonts w:ascii="新細明體" w:eastAsia="新細明體" w:hAnsi="新細明體" w:cs="新細明體" w:hint="eastAsia"/>
                <w:kern w:val="0"/>
                <w:szCs w:val="24"/>
              </w:rPr>
              <w:t>釉</w:t>
            </w:r>
            <w:proofErr w:type="gramEnd"/>
            <w:r w:rsidRPr="00EE1D94">
              <w:rPr>
                <w:rFonts w:ascii="新細明體" w:eastAsia="新細明體" w:hAnsi="新細明體" w:cs="新細明體" w:hint="eastAsia"/>
                <w:kern w:val="0"/>
                <w:szCs w:val="24"/>
              </w:rPr>
              <w:t>先生、香港大學秀</w:t>
            </w:r>
            <w:proofErr w:type="gramStart"/>
            <w:r w:rsidRPr="00EE1D94">
              <w:rPr>
                <w:rFonts w:ascii="新細明體" w:eastAsia="新細明體" w:hAnsi="新細明體" w:cs="新細明體" w:hint="eastAsia"/>
                <w:kern w:val="0"/>
                <w:szCs w:val="24"/>
              </w:rPr>
              <w:t>圃</w:t>
            </w:r>
            <w:proofErr w:type="gramEnd"/>
            <w:r w:rsidRPr="00EE1D94">
              <w:rPr>
                <w:rFonts w:ascii="新細明體" w:eastAsia="新細明體" w:hAnsi="新細明體" w:cs="新細明體" w:hint="eastAsia"/>
                <w:kern w:val="0"/>
                <w:szCs w:val="24"/>
              </w:rPr>
              <w:t>老年研究中心榮譽研究員黃錦賓博士以及罕有病患兒童家長張敬輝先生就</w:t>
            </w:r>
            <w:r w:rsidRPr="00EE1D94">
              <w:rPr>
                <w:rFonts w:ascii="新細明體" w:eastAsia="新細明體" w:hAnsi="新細明體" w:cs="新細明體"/>
                <w:kern w:val="0"/>
                <w:szCs w:val="24"/>
              </w:rPr>
              <w:t>ICF</w:t>
            </w:r>
            <w:r w:rsidRPr="00EE1D94">
              <w:rPr>
                <w:rFonts w:ascii="新細明體" w:eastAsia="新細明體" w:hAnsi="新細明體" w:cs="新細明體" w:hint="eastAsia"/>
                <w:kern w:val="0"/>
                <w:szCs w:val="24"/>
              </w:rPr>
              <w:t>在香港的應用進行了討論。這次研討會標誌著香港展開討論</w:t>
            </w:r>
            <w:r w:rsidRPr="00EE1D94">
              <w:rPr>
                <w:rFonts w:ascii="新細明體" w:eastAsia="新細明體" w:hAnsi="新細明體" w:cs="新細明體"/>
                <w:kern w:val="0"/>
                <w:szCs w:val="24"/>
              </w:rPr>
              <w:t>ICF</w:t>
            </w:r>
            <w:r w:rsidRPr="00EE1D94">
              <w:rPr>
                <w:rFonts w:ascii="新細明體" w:eastAsia="新細明體" w:hAnsi="新細明體" w:cs="新細明體" w:hint="eastAsia"/>
                <w:kern w:val="0"/>
                <w:szCs w:val="24"/>
              </w:rPr>
              <w:t>的里程碑。</w:t>
            </w:r>
          </w:p>
          <w:p w:rsidR="00EE1D94" w:rsidRPr="00EE1D94" w:rsidRDefault="00EE1D94" w:rsidP="00EE1D94">
            <w:pPr>
              <w:widowControl/>
              <w:spacing w:before="100" w:beforeAutospacing="1" w:after="100" w:afterAutospacing="1"/>
              <w:rPr>
                <w:rFonts w:ascii="新細明體" w:eastAsia="新細明體" w:hAnsi="新細明體" w:cs="新細明體"/>
                <w:kern w:val="0"/>
                <w:szCs w:val="24"/>
              </w:rPr>
            </w:pPr>
            <w:proofErr w:type="gramStart"/>
            <w:r w:rsidRPr="00EE1D94">
              <w:rPr>
                <w:rFonts w:ascii="新細明體" w:eastAsia="新細明體" w:hAnsi="新細明體" w:cs="新細明體" w:hint="eastAsia"/>
                <w:b/>
                <w:bCs/>
                <w:kern w:val="0"/>
                <w:szCs w:val="24"/>
              </w:rPr>
              <w:t>研倡</w:t>
            </w:r>
            <w:proofErr w:type="gramEnd"/>
            <w:r w:rsidRPr="00EE1D94">
              <w:rPr>
                <w:rFonts w:ascii="新細明體" w:eastAsia="新細明體" w:hAnsi="新細明體" w:cs="新細明體" w:hint="eastAsia"/>
                <w:b/>
                <w:bCs/>
                <w:kern w:val="0"/>
                <w:szCs w:val="24"/>
              </w:rPr>
              <w:t>專題</w:t>
            </w:r>
          </w:p>
          <w:p w:rsidR="00EE1D94" w:rsidRPr="00EE1D94" w:rsidRDefault="00EE1D94" w:rsidP="00EE1D94">
            <w:pPr>
              <w:widowControl/>
              <w:spacing w:before="100" w:beforeAutospacing="1" w:after="100" w:afterAutospacing="1"/>
              <w:jc w:val="center"/>
              <w:rPr>
                <w:rFonts w:ascii="新細明體" w:eastAsia="新細明體" w:hAnsi="新細明體" w:cs="新細明體"/>
                <w:kern w:val="0"/>
                <w:szCs w:val="24"/>
              </w:rPr>
            </w:pPr>
            <w:r w:rsidRPr="00EE1D94">
              <w:rPr>
                <w:rFonts w:ascii="新細明體" w:eastAsia="新細明體" w:hAnsi="新細明體" w:cs="新細明體" w:hint="eastAsia"/>
                <w:b/>
                <w:bCs/>
                <w:kern w:val="0"/>
                <w:szCs w:val="24"/>
              </w:rPr>
              <w:t>「國際功能、殘疾與健康分類」</w:t>
            </w:r>
          </w:p>
          <w:p w:rsidR="00EE1D94" w:rsidRPr="00EE1D94" w:rsidRDefault="00EE1D94" w:rsidP="00EE1D94">
            <w:pPr>
              <w:widowControl/>
              <w:spacing w:before="100" w:beforeAutospacing="1" w:after="100" w:afterAutospacing="1"/>
              <w:ind w:firstLine="480"/>
              <w:rPr>
                <w:rFonts w:ascii="新細明體" w:eastAsia="新細明體" w:hAnsi="新細明體" w:cs="新細明體"/>
                <w:kern w:val="0"/>
                <w:szCs w:val="24"/>
              </w:rPr>
            </w:pPr>
            <w:r w:rsidRPr="00EE1D94">
              <w:rPr>
                <w:rFonts w:ascii="新細明體" w:eastAsia="新細明體" w:hAnsi="新細明體" w:cs="新細明體" w:hint="eastAsia"/>
                <w:kern w:val="0"/>
                <w:szCs w:val="24"/>
              </w:rPr>
              <w:t>世界衛生組織</w:t>
            </w:r>
            <w:r w:rsidRPr="00EE1D94">
              <w:rPr>
                <w:rFonts w:ascii="新細明體" w:eastAsia="新細明體" w:hAnsi="新細明體" w:cs="新細明體"/>
                <w:kern w:val="0"/>
                <w:szCs w:val="24"/>
              </w:rPr>
              <w:t>(WHO)</w:t>
            </w:r>
            <w:r w:rsidRPr="00EE1D94">
              <w:rPr>
                <w:rFonts w:ascii="新細明體" w:eastAsia="新細明體" w:hAnsi="新細明體" w:cs="新細明體" w:hint="eastAsia"/>
                <w:kern w:val="0"/>
                <w:szCs w:val="24"/>
              </w:rPr>
              <w:t>於</w:t>
            </w:r>
            <w:r w:rsidRPr="00EE1D94">
              <w:rPr>
                <w:rFonts w:ascii="新細明體" w:eastAsia="新細明體" w:hAnsi="新細明體" w:cs="新細明體"/>
                <w:kern w:val="0"/>
                <w:szCs w:val="24"/>
              </w:rPr>
              <w:t>2001</w:t>
            </w:r>
            <w:r w:rsidRPr="00EE1D94">
              <w:rPr>
                <w:rFonts w:ascii="新細明體" w:eastAsia="新細明體" w:hAnsi="新細明體" w:cs="新細明體" w:hint="eastAsia"/>
                <w:kern w:val="0"/>
                <w:szCs w:val="24"/>
              </w:rPr>
              <w:t>年推出了</w:t>
            </w:r>
            <w:r w:rsidRPr="00EE1D94">
              <w:rPr>
                <w:rFonts w:ascii="新細明體" w:eastAsia="新細明體" w:hAnsi="新細明體" w:cs="新細明體"/>
                <w:kern w:val="0"/>
                <w:szCs w:val="24"/>
              </w:rPr>
              <w:t>International Classification of Functioning, Disability and Health (ICF)</w:t>
            </w:r>
            <w:r w:rsidRPr="00EE1D94">
              <w:rPr>
                <w:rFonts w:ascii="新細明體" w:eastAsia="新細明體" w:hAnsi="新細明體" w:cs="新細明體" w:hint="eastAsia"/>
                <w:kern w:val="0"/>
                <w:szCs w:val="24"/>
              </w:rPr>
              <w:t>的分類系統。</w:t>
            </w:r>
            <w:r w:rsidRPr="00EE1D94">
              <w:rPr>
                <w:rFonts w:ascii="新細明體" w:eastAsia="新細明體" w:hAnsi="新細明體" w:cs="新細明體"/>
                <w:kern w:val="0"/>
                <w:szCs w:val="24"/>
              </w:rPr>
              <w:t>ICF</w:t>
            </w:r>
            <w:r w:rsidRPr="00EE1D94">
              <w:rPr>
                <w:rFonts w:ascii="新細明體" w:eastAsia="新細明體" w:hAnsi="新細明體" w:cs="新細明體" w:hint="eastAsia"/>
                <w:kern w:val="0"/>
                <w:szCs w:val="24"/>
              </w:rPr>
              <w:t>的框架強調個人健康狀態不但要從醫學角度考慮</w:t>
            </w:r>
            <w:r w:rsidRPr="00EE1D94">
              <w:rPr>
                <w:rFonts w:ascii="新細明體" w:eastAsia="新細明體" w:hAnsi="新細明體" w:cs="新細明體"/>
                <w:kern w:val="0"/>
                <w:szCs w:val="24"/>
              </w:rPr>
              <w:t>(</w:t>
            </w:r>
            <w:r w:rsidRPr="00EE1D94">
              <w:rPr>
                <w:rFonts w:ascii="新細明體" w:eastAsia="新細明體" w:hAnsi="新細明體" w:cs="新細明體" w:hint="eastAsia"/>
                <w:kern w:val="0"/>
                <w:szCs w:val="24"/>
              </w:rPr>
              <w:t>如身體功能和結構</w:t>
            </w:r>
            <w:r w:rsidRPr="00EE1D94">
              <w:rPr>
                <w:rFonts w:ascii="新細明體" w:eastAsia="新細明體" w:hAnsi="新細明體" w:cs="新細明體"/>
                <w:kern w:val="0"/>
                <w:szCs w:val="24"/>
              </w:rPr>
              <w:t>)</w:t>
            </w:r>
            <w:r w:rsidRPr="00EE1D94">
              <w:rPr>
                <w:rFonts w:ascii="新細明體" w:eastAsia="新細明體" w:hAnsi="新細明體" w:cs="新細明體" w:hint="eastAsia"/>
                <w:kern w:val="0"/>
                <w:szCs w:val="24"/>
              </w:rPr>
              <w:t>，亦需同時考慮其社會方面的因素</w:t>
            </w:r>
            <w:r w:rsidRPr="00EE1D94">
              <w:rPr>
                <w:rFonts w:ascii="新細明體" w:eastAsia="新細明體" w:hAnsi="新細明體" w:cs="新細明體"/>
                <w:kern w:val="0"/>
                <w:szCs w:val="24"/>
              </w:rPr>
              <w:t>(</w:t>
            </w:r>
            <w:r w:rsidRPr="00EE1D94">
              <w:rPr>
                <w:rFonts w:ascii="新細明體" w:eastAsia="新細明體" w:hAnsi="新細明體" w:cs="新細明體" w:hint="eastAsia"/>
                <w:kern w:val="0"/>
                <w:szCs w:val="24"/>
              </w:rPr>
              <w:t>如活動和參與、環境因素等</w:t>
            </w:r>
            <w:r w:rsidRPr="00EE1D94">
              <w:rPr>
                <w:rFonts w:ascii="新細明體" w:eastAsia="新細明體" w:hAnsi="新細明體" w:cs="新細明體"/>
                <w:kern w:val="0"/>
                <w:szCs w:val="24"/>
              </w:rPr>
              <w:t>)</w:t>
            </w:r>
            <w:r w:rsidRPr="00EE1D94">
              <w:rPr>
                <w:rFonts w:ascii="新細明體" w:eastAsia="新細明體" w:hAnsi="新細明體" w:cs="新細明體" w:hint="eastAsia"/>
                <w:kern w:val="0"/>
                <w:szCs w:val="24"/>
              </w:rPr>
              <w:t>。</w:t>
            </w:r>
            <w:r w:rsidRPr="00EE1D94">
              <w:rPr>
                <w:rFonts w:ascii="新細明體" w:eastAsia="新細明體" w:hAnsi="新細明體" w:cs="新細明體"/>
                <w:kern w:val="0"/>
                <w:szCs w:val="24"/>
              </w:rPr>
              <w:t>ICF</w:t>
            </w:r>
            <w:r w:rsidRPr="00EE1D94">
              <w:rPr>
                <w:rFonts w:ascii="新細明體" w:eastAsia="新細明體" w:hAnsi="新細明體" w:cs="新細明體" w:hint="eastAsia"/>
                <w:kern w:val="0"/>
                <w:szCs w:val="24"/>
              </w:rPr>
              <w:t>採用統一且標準化的語言和架構，是一跨文化、年齡和性別的分類系統，適用於不同的復康治療、服務和政策上。亞太地區中，澳洲、台灣和日本已率先將</w:t>
            </w:r>
            <w:r w:rsidRPr="00EE1D94">
              <w:rPr>
                <w:rFonts w:ascii="新細明體" w:eastAsia="新細明體" w:hAnsi="新細明體" w:cs="新細明體"/>
                <w:kern w:val="0"/>
                <w:szCs w:val="24"/>
              </w:rPr>
              <w:t>ICF</w:t>
            </w:r>
            <w:r w:rsidRPr="00EE1D94">
              <w:rPr>
                <w:rFonts w:ascii="新細明體" w:eastAsia="新細明體" w:hAnsi="新細明體" w:cs="新細明體" w:hint="eastAsia"/>
                <w:kern w:val="0"/>
                <w:szCs w:val="24"/>
              </w:rPr>
              <w:t>應用不同範疇上。</w:t>
            </w:r>
          </w:p>
          <w:p w:rsidR="00EE1D94" w:rsidRPr="00EE1D94" w:rsidRDefault="00EE1D94" w:rsidP="00EE1D94">
            <w:pPr>
              <w:widowControl/>
              <w:spacing w:before="100" w:beforeAutospacing="1" w:after="100" w:afterAutospacing="1"/>
              <w:ind w:firstLine="480"/>
              <w:rPr>
                <w:rFonts w:ascii="新細明體" w:eastAsia="新細明體" w:hAnsi="新細明體" w:cs="新細明體" w:hint="eastAsia"/>
                <w:kern w:val="0"/>
                <w:szCs w:val="24"/>
                <w:lang w:eastAsia="zh-HK"/>
              </w:rPr>
            </w:pPr>
            <w:r w:rsidRPr="00EE1D94">
              <w:rPr>
                <w:rFonts w:ascii="新細明體" w:eastAsia="新細明體" w:hAnsi="新細明體" w:cs="新細明體"/>
                <w:kern w:val="0"/>
                <w:szCs w:val="24"/>
              </w:rPr>
              <w:lastRenderedPageBreak/>
              <w:t> </w:t>
            </w:r>
          </w:p>
          <w:p w:rsidR="00EE1D94" w:rsidRPr="00EE1D94" w:rsidRDefault="00EE1D94" w:rsidP="00EE1D94">
            <w:pPr>
              <w:widowControl/>
              <w:spacing w:before="100" w:beforeAutospacing="1" w:after="100" w:afterAutospacing="1"/>
              <w:ind w:firstLine="480"/>
              <w:jc w:val="center"/>
              <w:rPr>
                <w:rFonts w:ascii="新細明體" w:eastAsia="新細明體" w:hAnsi="新細明體" w:cs="新細明體"/>
                <w:kern w:val="0"/>
                <w:szCs w:val="24"/>
              </w:rPr>
            </w:pPr>
            <w:r w:rsidRPr="00EE1D94">
              <w:rPr>
                <w:rFonts w:ascii="新細明體" w:eastAsia="新細明體" w:hAnsi="新細明體" w:cs="新細明體"/>
                <w:b/>
                <w:bCs/>
                <w:kern w:val="0"/>
                <w:szCs w:val="24"/>
              </w:rPr>
              <w:t>ICF</w:t>
            </w:r>
            <w:r w:rsidRPr="00EE1D94">
              <w:rPr>
                <w:rFonts w:ascii="新細明體" w:eastAsia="新細明體" w:hAnsi="新細明體" w:cs="新細明體" w:hint="eastAsia"/>
                <w:b/>
                <w:bCs/>
                <w:kern w:val="0"/>
                <w:szCs w:val="24"/>
              </w:rPr>
              <w:t>在亞太地區不同國家的應用</w:t>
            </w:r>
          </w:p>
          <w:p w:rsidR="00EE1D94" w:rsidRPr="00EE1D94" w:rsidRDefault="00EE1D94" w:rsidP="00EE1D94">
            <w:pPr>
              <w:widowControl/>
              <w:spacing w:before="100" w:beforeAutospacing="1" w:after="100" w:afterAutospacing="1"/>
              <w:ind w:firstLine="480"/>
              <w:rPr>
                <w:rFonts w:ascii="新細明體" w:eastAsia="新細明體" w:hAnsi="新細明體" w:cs="新細明體"/>
                <w:kern w:val="0"/>
                <w:szCs w:val="24"/>
              </w:rPr>
            </w:pPr>
            <w:r w:rsidRPr="00EE1D94">
              <w:rPr>
                <w:rFonts w:ascii="新細明體" w:eastAsia="新細明體" w:hAnsi="新細明體" w:cs="新細明體" w:hint="eastAsia"/>
                <w:kern w:val="0"/>
                <w:szCs w:val="24"/>
              </w:rPr>
              <w:t>澳洲早於</w:t>
            </w:r>
            <w:r w:rsidRPr="00EE1D94">
              <w:rPr>
                <w:rFonts w:ascii="新細明體" w:eastAsia="新細明體" w:hAnsi="新細明體" w:cs="新細明體"/>
                <w:kern w:val="0"/>
                <w:szCs w:val="24"/>
              </w:rPr>
              <w:t>1998</w:t>
            </w:r>
            <w:r w:rsidRPr="00EE1D94">
              <w:rPr>
                <w:rFonts w:ascii="新細明體" w:eastAsia="新細明體" w:hAnsi="新細明體" w:cs="新細明體" w:hint="eastAsia"/>
                <w:kern w:val="0"/>
                <w:szCs w:val="24"/>
              </w:rPr>
              <w:t>年於其殘疾人口調查中已加入</w:t>
            </w:r>
            <w:r w:rsidRPr="00EE1D94">
              <w:rPr>
                <w:rFonts w:ascii="新細明體" w:eastAsia="新細明體" w:hAnsi="新細明體" w:cs="新細明體"/>
                <w:kern w:val="0"/>
                <w:szCs w:val="24"/>
              </w:rPr>
              <w:t>ICF</w:t>
            </w:r>
            <w:r w:rsidRPr="00EE1D94">
              <w:rPr>
                <w:rFonts w:ascii="新細明體" w:eastAsia="新細明體" w:hAnsi="新細明體" w:cs="新細明體" w:hint="eastAsia"/>
                <w:kern w:val="0"/>
                <w:szCs w:val="24"/>
              </w:rPr>
              <w:t>概念，將所蒐集的資料作為政策發展及服務規劃的依據。日本是亞洲推動</w:t>
            </w:r>
            <w:r w:rsidRPr="00EE1D94">
              <w:rPr>
                <w:rFonts w:ascii="新細明體" w:eastAsia="新細明體" w:hAnsi="新細明體" w:cs="新細明體"/>
                <w:kern w:val="0"/>
                <w:szCs w:val="24"/>
              </w:rPr>
              <w:t>ICF</w:t>
            </w:r>
            <w:r w:rsidRPr="00EE1D94">
              <w:rPr>
                <w:rFonts w:ascii="新細明體" w:eastAsia="新細明體" w:hAnsi="新細明體" w:cs="新細明體" w:hint="eastAsia"/>
                <w:kern w:val="0"/>
                <w:szCs w:val="24"/>
              </w:rPr>
              <w:t>最早和時間最長的國家。日本在《長期介護保險》</w:t>
            </w:r>
            <w:r w:rsidRPr="00EE1D94">
              <w:rPr>
                <w:rFonts w:ascii="新細明體" w:eastAsia="新細明體" w:hAnsi="新細明體" w:cs="新細明體"/>
                <w:kern w:val="0"/>
                <w:szCs w:val="24"/>
              </w:rPr>
              <w:t>(Long Term Care Insurance)</w:t>
            </w:r>
            <w:r w:rsidRPr="00EE1D94">
              <w:rPr>
                <w:rFonts w:ascii="新細明體" w:eastAsia="新細明體" w:hAnsi="新細明體" w:cs="新細明體" w:hint="eastAsia"/>
                <w:kern w:val="0"/>
                <w:szCs w:val="24"/>
              </w:rPr>
              <w:t>中的復康定義和技能訓練</w:t>
            </w:r>
            <w:r w:rsidRPr="00EE1D94">
              <w:rPr>
                <w:rFonts w:ascii="新細明體" w:eastAsia="新細明體" w:hAnsi="新細明體" w:cs="新細明體"/>
                <w:kern w:val="0"/>
                <w:szCs w:val="24"/>
              </w:rPr>
              <w:t>(activity training)</w:t>
            </w:r>
            <w:r w:rsidRPr="00EE1D94">
              <w:rPr>
                <w:rFonts w:ascii="新細明體" w:eastAsia="新細明體" w:hAnsi="新細明體" w:cs="新細明體" w:hint="eastAsia"/>
                <w:kern w:val="0"/>
                <w:szCs w:val="24"/>
              </w:rPr>
              <w:t>均參考了</w:t>
            </w:r>
            <w:r w:rsidRPr="00EE1D94">
              <w:rPr>
                <w:rFonts w:ascii="新細明體" w:eastAsia="新細明體" w:hAnsi="新細明體" w:cs="新細明體"/>
                <w:kern w:val="0"/>
                <w:szCs w:val="24"/>
              </w:rPr>
              <w:t>ICF</w:t>
            </w:r>
            <w:r w:rsidRPr="00EE1D94">
              <w:rPr>
                <w:rFonts w:ascii="新細明體" w:eastAsia="新細明體" w:hAnsi="新細明體" w:cs="新細明體" w:hint="eastAsia"/>
                <w:kern w:val="0"/>
                <w:szCs w:val="24"/>
              </w:rPr>
              <w:t>的概念。台灣於</w:t>
            </w:r>
            <w:r w:rsidRPr="00EE1D94">
              <w:rPr>
                <w:rFonts w:ascii="新細明體" w:eastAsia="新細明體" w:hAnsi="新細明體" w:cs="新細明體"/>
                <w:kern w:val="0"/>
                <w:szCs w:val="24"/>
              </w:rPr>
              <w:t>2007</w:t>
            </w:r>
            <w:r w:rsidRPr="00EE1D94">
              <w:rPr>
                <w:rFonts w:ascii="新細明體" w:eastAsia="新細明體" w:hAnsi="新細明體" w:cs="新細明體" w:hint="eastAsia"/>
                <w:kern w:val="0"/>
                <w:szCs w:val="24"/>
              </w:rPr>
              <w:t>年將</w:t>
            </w:r>
            <w:r w:rsidRPr="00EE1D94">
              <w:rPr>
                <w:rFonts w:ascii="新細明體" w:eastAsia="新細明體" w:hAnsi="新細明體" w:cs="新細明體"/>
                <w:kern w:val="0"/>
                <w:szCs w:val="24"/>
              </w:rPr>
              <w:t>ICF</w:t>
            </w:r>
            <w:r w:rsidRPr="00EE1D94">
              <w:rPr>
                <w:rFonts w:ascii="新細明體" w:eastAsia="新細明體" w:hAnsi="新細明體" w:cs="新細明體" w:hint="eastAsia"/>
                <w:kern w:val="0"/>
                <w:szCs w:val="24"/>
              </w:rPr>
              <w:t>的概念引入其《身心障礙權益保障法》中並致力修改障礙鑑定模式。經過</w:t>
            </w:r>
            <w:r w:rsidRPr="00EE1D94">
              <w:rPr>
                <w:rFonts w:ascii="新細明體" w:eastAsia="新細明體" w:hAnsi="新細明體" w:cs="新細明體"/>
                <w:kern w:val="0"/>
                <w:szCs w:val="24"/>
              </w:rPr>
              <w:t>5</w:t>
            </w:r>
            <w:r w:rsidRPr="00EE1D94">
              <w:rPr>
                <w:rFonts w:ascii="新細明體" w:eastAsia="新細明體" w:hAnsi="新細明體" w:cs="新細明體" w:hint="eastAsia"/>
                <w:kern w:val="0"/>
                <w:szCs w:val="24"/>
              </w:rPr>
              <w:t>年時間的研究，身障鑑定與需求評估新制已於去年</w:t>
            </w:r>
            <w:r w:rsidRPr="00EE1D94">
              <w:rPr>
                <w:rFonts w:ascii="新細明體" w:eastAsia="新細明體" w:hAnsi="新細明體" w:cs="新細明體"/>
                <w:kern w:val="0"/>
                <w:szCs w:val="24"/>
              </w:rPr>
              <w:t>7</w:t>
            </w:r>
            <w:r w:rsidRPr="00EE1D94">
              <w:rPr>
                <w:rFonts w:ascii="新細明體" w:eastAsia="新細明體" w:hAnsi="新細明體" w:cs="新細明體" w:hint="eastAsia"/>
                <w:kern w:val="0"/>
                <w:szCs w:val="24"/>
              </w:rPr>
              <w:t>月</w:t>
            </w:r>
            <w:r w:rsidRPr="00EE1D94">
              <w:rPr>
                <w:rFonts w:ascii="新細明體" w:eastAsia="新細明體" w:hAnsi="新細明體" w:cs="新細明體"/>
                <w:kern w:val="0"/>
                <w:szCs w:val="24"/>
              </w:rPr>
              <w:t>1</w:t>
            </w:r>
            <w:r w:rsidRPr="00EE1D94">
              <w:rPr>
                <w:rFonts w:ascii="新細明體" w:eastAsia="新細明體" w:hAnsi="新細明體" w:cs="新細明體" w:hint="eastAsia"/>
                <w:kern w:val="0"/>
                <w:szCs w:val="24"/>
              </w:rPr>
              <w:t>日在台灣生效，至今已完成了超過</w:t>
            </w:r>
            <w:r w:rsidRPr="00EE1D94">
              <w:rPr>
                <w:rFonts w:ascii="新細明體" w:eastAsia="新細明體" w:hAnsi="新細明體" w:cs="新細明體"/>
                <w:kern w:val="0"/>
                <w:szCs w:val="24"/>
              </w:rPr>
              <w:t>10</w:t>
            </w:r>
            <w:r w:rsidRPr="00EE1D94">
              <w:rPr>
                <w:rFonts w:ascii="新細明體" w:eastAsia="新細明體" w:hAnsi="新細明體" w:cs="新細明體" w:hint="eastAsia"/>
                <w:kern w:val="0"/>
                <w:szCs w:val="24"/>
              </w:rPr>
              <w:t>萬個評估。</w:t>
            </w:r>
          </w:p>
          <w:p w:rsidR="00EE1D94" w:rsidRPr="00EE1D94" w:rsidRDefault="00EE1D94" w:rsidP="00EE1D94">
            <w:pPr>
              <w:widowControl/>
              <w:spacing w:before="100" w:beforeAutospacing="1" w:after="100" w:afterAutospacing="1"/>
              <w:ind w:firstLine="480"/>
              <w:rPr>
                <w:rFonts w:ascii="新細明體" w:eastAsia="新細明體" w:hAnsi="新細明體" w:cs="新細明體"/>
                <w:kern w:val="0"/>
                <w:szCs w:val="24"/>
              </w:rPr>
            </w:pPr>
            <w:r w:rsidRPr="00EE1D94">
              <w:rPr>
                <w:rFonts w:ascii="新細明體" w:eastAsia="新細明體" w:hAnsi="新細明體" w:cs="新細明體"/>
                <w:kern w:val="0"/>
                <w:szCs w:val="24"/>
              </w:rPr>
              <w:t> </w:t>
            </w:r>
          </w:p>
          <w:p w:rsidR="00EE1D94" w:rsidRPr="00EE1D94" w:rsidRDefault="00EE1D94" w:rsidP="00EE1D94">
            <w:pPr>
              <w:widowControl/>
              <w:spacing w:before="100" w:beforeAutospacing="1" w:after="100" w:afterAutospacing="1"/>
              <w:ind w:firstLine="480"/>
              <w:rPr>
                <w:rFonts w:ascii="新細明體" w:eastAsia="新細明體" w:hAnsi="新細明體" w:cs="新細明體"/>
                <w:kern w:val="0"/>
                <w:szCs w:val="24"/>
              </w:rPr>
            </w:pPr>
            <w:r w:rsidRPr="00EE1D94">
              <w:rPr>
                <w:rFonts w:ascii="新細明體" w:eastAsia="新細明體" w:hAnsi="新細明體" w:cs="新細明體" w:hint="eastAsia"/>
                <w:kern w:val="0"/>
                <w:szCs w:val="24"/>
              </w:rPr>
              <w:t>本中心經理熊德鳳女士於</w:t>
            </w:r>
            <w:r w:rsidRPr="00EE1D94">
              <w:rPr>
                <w:rFonts w:ascii="新細明體" w:eastAsia="新細明體" w:hAnsi="新細明體" w:cs="新細明體"/>
                <w:kern w:val="0"/>
                <w:szCs w:val="24"/>
              </w:rPr>
              <w:t>2013</w:t>
            </w:r>
            <w:r w:rsidRPr="00EE1D94">
              <w:rPr>
                <w:rFonts w:ascii="新細明體" w:eastAsia="新細明體" w:hAnsi="新細明體" w:cs="新細明體" w:hint="eastAsia"/>
                <w:kern w:val="0"/>
                <w:szCs w:val="24"/>
              </w:rPr>
              <w:t>年</w:t>
            </w:r>
            <w:r w:rsidRPr="00EE1D94">
              <w:rPr>
                <w:rFonts w:ascii="新細明體" w:eastAsia="新細明體" w:hAnsi="新細明體" w:cs="新細明體"/>
                <w:kern w:val="0"/>
                <w:szCs w:val="24"/>
              </w:rPr>
              <w:t>3</w:t>
            </w:r>
            <w:r w:rsidRPr="00EE1D94">
              <w:rPr>
                <w:rFonts w:ascii="新細明體" w:eastAsia="新細明體" w:hAnsi="新細明體" w:cs="新細明體" w:hint="eastAsia"/>
                <w:kern w:val="0"/>
                <w:szCs w:val="24"/>
              </w:rPr>
              <w:t>月</w:t>
            </w:r>
            <w:r w:rsidRPr="00EE1D94">
              <w:rPr>
                <w:rFonts w:ascii="新細明體" w:eastAsia="新細明體" w:hAnsi="新細明體" w:cs="新細明體"/>
                <w:kern w:val="0"/>
                <w:szCs w:val="24"/>
              </w:rPr>
              <w:t>31</w:t>
            </w:r>
            <w:r w:rsidRPr="00EE1D94">
              <w:rPr>
                <w:rFonts w:ascii="新細明體" w:eastAsia="新細明體" w:hAnsi="新細明體" w:cs="新細明體" w:hint="eastAsia"/>
                <w:kern w:val="0"/>
                <w:szCs w:val="24"/>
              </w:rPr>
              <w:t>日參與了在台灣舉辦的「第三次</w:t>
            </w:r>
            <w:r w:rsidRPr="00EE1D94">
              <w:rPr>
                <w:rFonts w:ascii="新細明體" w:eastAsia="新細明體" w:hAnsi="新細明體" w:cs="新細明體"/>
                <w:kern w:val="0"/>
                <w:szCs w:val="24"/>
              </w:rPr>
              <w:t>ICF</w:t>
            </w:r>
            <w:r w:rsidRPr="00EE1D94">
              <w:rPr>
                <w:rFonts w:ascii="新細明體" w:eastAsia="新細明體" w:hAnsi="新細明體" w:cs="新細明體" w:hint="eastAsia"/>
                <w:kern w:val="0"/>
                <w:szCs w:val="24"/>
              </w:rPr>
              <w:t>研討暨論文發表大會」，從中更深入認識台灣應用</w:t>
            </w:r>
            <w:r w:rsidRPr="00EE1D94">
              <w:rPr>
                <w:rFonts w:ascii="新細明體" w:eastAsia="新細明體" w:hAnsi="新細明體" w:cs="新細明體"/>
                <w:kern w:val="0"/>
                <w:szCs w:val="24"/>
              </w:rPr>
              <w:t>ICF</w:t>
            </w:r>
            <w:r w:rsidRPr="00EE1D94">
              <w:rPr>
                <w:rFonts w:ascii="新細明體" w:eastAsia="新細明體" w:hAnsi="新細明體" w:cs="新細明體" w:hint="eastAsia"/>
                <w:kern w:val="0"/>
                <w:szCs w:val="24"/>
              </w:rPr>
              <w:t>的經驗和對香港的啟示。本中心日後將繼續探討</w:t>
            </w:r>
            <w:r w:rsidRPr="00EE1D94">
              <w:rPr>
                <w:rFonts w:ascii="新細明體" w:eastAsia="新細明體" w:hAnsi="新細明體" w:cs="新細明體"/>
                <w:kern w:val="0"/>
                <w:szCs w:val="24"/>
              </w:rPr>
              <w:t>ICF</w:t>
            </w:r>
            <w:r w:rsidRPr="00EE1D94">
              <w:rPr>
                <w:rFonts w:ascii="新細明體" w:eastAsia="新細明體" w:hAnsi="新細明體" w:cs="新細明體" w:hint="eastAsia"/>
                <w:kern w:val="0"/>
                <w:szCs w:val="24"/>
              </w:rPr>
              <w:t>在香港復康服務和政策的應用。</w:t>
            </w:r>
          </w:p>
          <w:p w:rsidR="00EE1D94" w:rsidRPr="00EE1D94" w:rsidRDefault="00EE1D94" w:rsidP="00EE1D94">
            <w:pPr>
              <w:widowControl/>
              <w:spacing w:before="100" w:beforeAutospacing="1" w:after="100" w:afterAutospacing="1"/>
              <w:ind w:firstLine="480"/>
              <w:rPr>
                <w:rFonts w:ascii="新細明體" w:eastAsia="新細明體" w:hAnsi="新細明體" w:cs="新細明體"/>
                <w:kern w:val="0"/>
                <w:szCs w:val="24"/>
              </w:rPr>
            </w:pPr>
            <w:r w:rsidRPr="00EE1D94">
              <w:rPr>
                <w:rFonts w:ascii="新細明體" w:eastAsia="新細明體" w:hAnsi="新細明體" w:cs="新細明體"/>
                <w:kern w:val="0"/>
                <w:szCs w:val="24"/>
              </w:rPr>
              <w:t> </w:t>
            </w:r>
          </w:p>
          <w:p w:rsidR="00EE1D94" w:rsidRPr="00EE1D94" w:rsidRDefault="00EE1D94" w:rsidP="00EE1D94">
            <w:pPr>
              <w:widowControl/>
              <w:spacing w:before="100" w:beforeAutospacing="1" w:after="100" w:afterAutospacing="1"/>
              <w:rPr>
                <w:rFonts w:ascii="新細明體" w:eastAsia="新細明體" w:hAnsi="新細明體" w:cs="新細明體"/>
                <w:kern w:val="0"/>
                <w:szCs w:val="24"/>
              </w:rPr>
            </w:pPr>
            <w:proofErr w:type="gramStart"/>
            <w:r w:rsidRPr="00EE1D94">
              <w:rPr>
                <w:rFonts w:ascii="新細明體" w:eastAsia="新細明體" w:hAnsi="新細明體" w:cs="新細明體" w:hint="eastAsia"/>
                <w:b/>
                <w:bCs/>
                <w:kern w:val="0"/>
                <w:szCs w:val="24"/>
              </w:rPr>
              <w:t>研倡</w:t>
            </w:r>
            <w:proofErr w:type="gramEnd"/>
            <w:r w:rsidRPr="00EE1D94">
              <w:rPr>
                <w:rFonts w:ascii="新細明體" w:eastAsia="新細明體" w:hAnsi="新細明體" w:cs="新細明體" w:hint="eastAsia"/>
                <w:b/>
                <w:bCs/>
                <w:kern w:val="0"/>
                <w:szCs w:val="24"/>
              </w:rPr>
              <w:t>新力軍</w:t>
            </w:r>
          </w:p>
          <w:p w:rsidR="00EE1D94" w:rsidRPr="00EE1D94" w:rsidRDefault="00EE1D94" w:rsidP="00EE1D94">
            <w:pPr>
              <w:widowControl/>
              <w:spacing w:before="100" w:beforeAutospacing="1" w:after="100" w:afterAutospacing="1"/>
              <w:ind w:firstLine="480"/>
              <w:rPr>
                <w:rFonts w:ascii="新細明體" w:eastAsia="新細明體" w:hAnsi="新細明體" w:cs="新細明體"/>
                <w:kern w:val="0"/>
                <w:szCs w:val="24"/>
              </w:rPr>
            </w:pPr>
            <w:r w:rsidRPr="00EE1D94">
              <w:rPr>
                <w:rFonts w:ascii="新細明體" w:eastAsia="新細明體" w:hAnsi="新細明體" w:cs="新細明體" w:hint="eastAsia"/>
                <w:kern w:val="0"/>
                <w:szCs w:val="24"/>
              </w:rPr>
              <w:t>項目主任吳兆麟先生已於</w:t>
            </w:r>
            <w:r w:rsidRPr="00EE1D94">
              <w:rPr>
                <w:rFonts w:ascii="新細明體" w:eastAsia="新細明體" w:hAnsi="新細明體" w:cs="新細明體"/>
                <w:kern w:val="0"/>
                <w:szCs w:val="24"/>
              </w:rPr>
              <w:t>2013</w:t>
            </w:r>
            <w:r w:rsidRPr="00EE1D94">
              <w:rPr>
                <w:rFonts w:ascii="新細明體" w:eastAsia="新細明體" w:hAnsi="新細明體" w:cs="新細明體" w:hint="eastAsia"/>
                <w:kern w:val="0"/>
                <w:szCs w:val="24"/>
              </w:rPr>
              <w:t>年</w:t>
            </w:r>
            <w:r w:rsidRPr="00EE1D94">
              <w:rPr>
                <w:rFonts w:ascii="新細明體" w:eastAsia="新細明體" w:hAnsi="新細明體" w:cs="新細明體"/>
                <w:kern w:val="0"/>
                <w:szCs w:val="24"/>
              </w:rPr>
              <w:t>4</w:t>
            </w:r>
            <w:r w:rsidRPr="00EE1D94">
              <w:rPr>
                <w:rFonts w:ascii="新細明體" w:eastAsia="新細明體" w:hAnsi="新細明體" w:cs="新細明體" w:hint="eastAsia"/>
                <w:kern w:val="0"/>
                <w:szCs w:val="24"/>
              </w:rPr>
              <w:t>月</w:t>
            </w:r>
            <w:r w:rsidRPr="00EE1D94">
              <w:rPr>
                <w:rFonts w:ascii="新細明體" w:eastAsia="新細明體" w:hAnsi="新細明體" w:cs="新細明體"/>
                <w:kern w:val="0"/>
                <w:szCs w:val="24"/>
              </w:rPr>
              <w:t>25</w:t>
            </w:r>
            <w:r w:rsidRPr="00EE1D94">
              <w:rPr>
                <w:rFonts w:ascii="新細明體" w:eastAsia="新細明體" w:hAnsi="新細明體" w:cs="新細明體" w:hint="eastAsia"/>
                <w:kern w:val="0"/>
                <w:szCs w:val="24"/>
              </w:rPr>
              <w:t>日到職，協助中心內之研究及倡議工作，為我們長期病患者和殘疾人士服務，在此我們祝他工作愉快。</w:t>
            </w:r>
          </w:p>
          <w:p w:rsidR="00EE1D94" w:rsidRPr="00EE1D94" w:rsidRDefault="00EE1D94" w:rsidP="00EE1D94">
            <w:pPr>
              <w:widowControl/>
              <w:spacing w:before="100" w:beforeAutospacing="1" w:after="100" w:afterAutospacing="1"/>
              <w:ind w:firstLine="480"/>
              <w:rPr>
                <w:rFonts w:ascii="新細明體" w:eastAsia="新細明體" w:hAnsi="新細明體" w:cs="新細明體" w:hint="eastAsia"/>
                <w:kern w:val="0"/>
                <w:szCs w:val="24"/>
                <w:lang w:eastAsia="zh-HK"/>
              </w:rPr>
            </w:pPr>
            <w:r w:rsidRPr="00EE1D94">
              <w:rPr>
                <w:rFonts w:ascii="新細明體" w:eastAsia="新細明體" w:hAnsi="新細明體" w:cs="新細明體"/>
                <w:kern w:val="0"/>
                <w:szCs w:val="24"/>
              </w:rPr>
              <w:t> </w:t>
            </w:r>
          </w:p>
          <w:p w:rsidR="00EE1D94" w:rsidRPr="00EE1D94" w:rsidRDefault="00EE1D94" w:rsidP="00EE1D94">
            <w:pPr>
              <w:widowControl/>
              <w:spacing w:before="100" w:beforeAutospacing="1" w:after="100" w:afterAutospacing="1"/>
              <w:rPr>
                <w:rFonts w:ascii="新細明體" w:eastAsia="新細明體" w:hAnsi="新細明體" w:cs="新細明體"/>
                <w:kern w:val="0"/>
                <w:szCs w:val="24"/>
              </w:rPr>
            </w:pPr>
            <w:r w:rsidRPr="00EE1D94">
              <w:rPr>
                <w:rFonts w:ascii="新細明體" w:eastAsia="新細明體" w:hAnsi="新細明體" w:cs="新細明體" w:hint="eastAsia"/>
                <w:kern w:val="0"/>
                <w:szCs w:val="24"/>
              </w:rPr>
              <w:t>研究及倡議中心地址：九龍</w:t>
            </w:r>
            <w:proofErr w:type="gramStart"/>
            <w:r w:rsidRPr="00EE1D94">
              <w:rPr>
                <w:rFonts w:ascii="新細明體" w:eastAsia="新細明體" w:hAnsi="新細明體" w:cs="新細明體" w:hint="eastAsia"/>
                <w:kern w:val="0"/>
                <w:szCs w:val="24"/>
              </w:rPr>
              <w:t>藍田復康</w:t>
            </w:r>
            <w:proofErr w:type="gramEnd"/>
            <w:r w:rsidRPr="00EE1D94">
              <w:rPr>
                <w:rFonts w:ascii="新細明體" w:eastAsia="新細明體" w:hAnsi="新細明體" w:cs="新細明體" w:hint="eastAsia"/>
                <w:kern w:val="0"/>
                <w:szCs w:val="24"/>
              </w:rPr>
              <w:t>徑</w:t>
            </w:r>
            <w:r w:rsidRPr="00EE1D94">
              <w:rPr>
                <w:rFonts w:ascii="新細明體" w:eastAsia="新細明體" w:hAnsi="新細明體" w:cs="新細明體"/>
                <w:kern w:val="0"/>
                <w:szCs w:val="24"/>
              </w:rPr>
              <w:t>7</w:t>
            </w:r>
            <w:r w:rsidRPr="00EE1D94">
              <w:rPr>
                <w:rFonts w:ascii="新細明體" w:eastAsia="新細明體" w:hAnsi="新細明體" w:cs="新細明體" w:hint="eastAsia"/>
                <w:kern w:val="0"/>
                <w:szCs w:val="24"/>
              </w:rPr>
              <w:t>號藍田綜合中心地下</w:t>
            </w:r>
            <w:r w:rsidRPr="00EE1D94">
              <w:rPr>
                <w:rFonts w:ascii="新細明體" w:eastAsia="新細明體" w:hAnsi="新細明體" w:cs="新細明體"/>
                <w:kern w:val="0"/>
                <w:szCs w:val="24"/>
              </w:rPr>
              <w:t>14</w:t>
            </w:r>
            <w:r w:rsidRPr="00EE1D94">
              <w:rPr>
                <w:rFonts w:ascii="新細明體" w:eastAsia="新細明體" w:hAnsi="新細明體" w:cs="新細明體" w:hint="eastAsia"/>
                <w:kern w:val="0"/>
                <w:szCs w:val="24"/>
              </w:rPr>
              <w:t>號室</w:t>
            </w:r>
          </w:p>
          <w:p w:rsidR="00EE1D94" w:rsidRPr="00EE1D94" w:rsidRDefault="00EE1D94" w:rsidP="00EE1D94">
            <w:pPr>
              <w:widowControl/>
              <w:spacing w:before="100" w:beforeAutospacing="1" w:after="100" w:afterAutospacing="1"/>
              <w:rPr>
                <w:rFonts w:ascii="新細明體" w:eastAsia="新細明體" w:hAnsi="新細明體" w:cs="新細明體"/>
                <w:kern w:val="0"/>
                <w:szCs w:val="24"/>
              </w:rPr>
            </w:pPr>
            <w:r w:rsidRPr="00EE1D94">
              <w:rPr>
                <w:rFonts w:ascii="新細明體" w:eastAsia="新細明體" w:hAnsi="新細明體" w:cs="新細明體" w:hint="eastAsia"/>
                <w:kern w:val="0"/>
                <w:szCs w:val="24"/>
              </w:rPr>
              <w:t>電話：</w:t>
            </w:r>
            <w:r w:rsidRPr="00EE1D94">
              <w:rPr>
                <w:rFonts w:ascii="新細明體" w:eastAsia="新細明體" w:hAnsi="新細明體" w:cs="新細明體"/>
                <w:kern w:val="0"/>
                <w:szCs w:val="24"/>
              </w:rPr>
              <w:t>2205 6336</w:t>
            </w:r>
          </w:p>
          <w:p w:rsidR="00EE1D94" w:rsidRPr="00EE1D94" w:rsidRDefault="00EE1D94" w:rsidP="00EE1D94">
            <w:pPr>
              <w:widowControl/>
              <w:spacing w:before="100" w:beforeAutospacing="1" w:after="100" w:afterAutospacing="1"/>
              <w:rPr>
                <w:rFonts w:ascii="新細明體" w:eastAsia="新細明體" w:hAnsi="新細明體" w:cs="新細明體"/>
                <w:kern w:val="0"/>
                <w:szCs w:val="24"/>
              </w:rPr>
            </w:pPr>
            <w:r w:rsidRPr="00EE1D94">
              <w:rPr>
                <w:rFonts w:ascii="新細明體" w:eastAsia="新細明體" w:hAnsi="新細明體" w:cs="新細明體" w:hint="eastAsia"/>
                <w:kern w:val="0"/>
                <w:szCs w:val="24"/>
              </w:rPr>
              <w:t>傳真：</w:t>
            </w:r>
            <w:r w:rsidRPr="00EE1D94">
              <w:rPr>
                <w:rFonts w:ascii="新細明體" w:eastAsia="新細明體" w:hAnsi="新細明體" w:cs="新細明體"/>
                <w:kern w:val="0"/>
                <w:szCs w:val="24"/>
              </w:rPr>
              <w:t>2205 6166</w:t>
            </w:r>
          </w:p>
          <w:p w:rsidR="00EE1D94" w:rsidRPr="00EE1D94" w:rsidRDefault="00EE1D94" w:rsidP="00EE1D94">
            <w:pPr>
              <w:widowControl/>
              <w:spacing w:before="100" w:beforeAutospacing="1" w:after="100" w:afterAutospacing="1"/>
              <w:rPr>
                <w:rFonts w:ascii="新細明體" w:eastAsia="新細明體" w:hAnsi="新細明體" w:cs="新細明體"/>
                <w:kern w:val="0"/>
                <w:szCs w:val="24"/>
              </w:rPr>
            </w:pPr>
            <w:r w:rsidRPr="00EE1D94">
              <w:rPr>
                <w:rFonts w:ascii="新細明體" w:eastAsia="新細明體" w:hAnsi="新細明體" w:cs="新細明體" w:hint="eastAsia"/>
                <w:kern w:val="0"/>
                <w:szCs w:val="24"/>
              </w:rPr>
              <w:t>電郵：</w:t>
            </w:r>
            <w:r w:rsidRPr="00EE1D94">
              <w:rPr>
                <w:rFonts w:ascii="新細明體" w:eastAsia="新細明體" w:hAnsi="新細明體" w:cs="新細明體"/>
                <w:kern w:val="0"/>
                <w:szCs w:val="24"/>
              </w:rPr>
              <w:t>cra@rehabsociety.org.hk</w:t>
            </w:r>
          </w:p>
        </w:tc>
      </w:tr>
    </w:tbl>
    <w:p w:rsidR="00D0384E" w:rsidRPr="00EE1D94" w:rsidRDefault="00D0384E"/>
    <w:sectPr w:rsidR="00D0384E" w:rsidRPr="00EE1D94" w:rsidSect="00EE1D94">
      <w:pgSz w:w="11906" w:h="16838"/>
      <w:pgMar w:top="720" w:right="720" w:bottom="720" w:left="72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E1D94"/>
    <w:rsid w:val="00190094"/>
    <w:rsid w:val="00364EED"/>
    <w:rsid w:val="005D0297"/>
    <w:rsid w:val="00D0384E"/>
    <w:rsid w:val="00EE1D9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094"/>
    <w:pPr>
      <w:widowControl w:val="0"/>
    </w:pPr>
  </w:style>
  <w:style w:type="paragraph" w:styleId="3">
    <w:name w:val="heading 3"/>
    <w:basedOn w:val="a"/>
    <w:link w:val="30"/>
    <w:uiPriority w:val="9"/>
    <w:qFormat/>
    <w:rsid w:val="00190094"/>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190094"/>
    <w:rPr>
      <w:rFonts w:ascii="新細明體" w:eastAsia="新細明體" w:hAnsi="新細明體" w:cs="新細明體"/>
      <w:b/>
      <w:bCs/>
      <w:kern w:val="0"/>
      <w:sz w:val="27"/>
      <w:szCs w:val="27"/>
    </w:rPr>
  </w:style>
  <w:style w:type="character" w:styleId="a3">
    <w:name w:val="Strong"/>
    <w:basedOn w:val="a0"/>
    <w:uiPriority w:val="22"/>
    <w:qFormat/>
    <w:rsid w:val="00190094"/>
    <w:rPr>
      <w:b/>
      <w:bCs/>
    </w:rPr>
  </w:style>
  <w:style w:type="paragraph" w:styleId="a4">
    <w:name w:val="List Paragraph"/>
    <w:basedOn w:val="a"/>
    <w:uiPriority w:val="34"/>
    <w:qFormat/>
    <w:rsid w:val="00190094"/>
    <w:pPr>
      <w:ind w:leftChars="200" w:left="480"/>
    </w:pPr>
  </w:style>
  <w:style w:type="paragraph" w:styleId="Web">
    <w:name w:val="Normal (Web)"/>
    <w:basedOn w:val="a"/>
    <w:uiPriority w:val="99"/>
    <w:unhideWhenUsed/>
    <w:rsid w:val="00EE1D94"/>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1683359944">
      <w:bodyDiv w:val="1"/>
      <w:marLeft w:val="0"/>
      <w:marRight w:val="0"/>
      <w:marTop w:val="0"/>
      <w:marBottom w:val="0"/>
      <w:divBdr>
        <w:top w:val="none" w:sz="0" w:space="0" w:color="auto"/>
        <w:left w:val="none" w:sz="0" w:space="0" w:color="auto"/>
        <w:bottom w:val="none" w:sz="0" w:space="0" w:color="auto"/>
        <w:right w:val="none" w:sz="0" w:space="0" w:color="auto"/>
      </w:divBdr>
      <w:divsChild>
        <w:div w:id="2035225090">
          <w:marLeft w:val="0"/>
          <w:marRight w:val="0"/>
          <w:marTop w:val="0"/>
          <w:marBottom w:val="0"/>
          <w:divBdr>
            <w:top w:val="none" w:sz="0" w:space="0" w:color="auto"/>
            <w:left w:val="none" w:sz="0" w:space="0" w:color="auto"/>
            <w:bottom w:val="none" w:sz="0" w:space="0" w:color="auto"/>
            <w:right w:val="none" w:sz="0" w:space="0" w:color="auto"/>
          </w:divBdr>
          <w:divsChild>
            <w:div w:id="1097944556">
              <w:marLeft w:val="0"/>
              <w:marRight w:val="0"/>
              <w:marTop w:val="0"/>
              <w:marBottom w:val="0"/>
              <w:divBdr>
                <w:top w:val="none" w:sz="0" w:space="0" w:color="auto"/>
                <w:left w:val="none" w:sz="0" w:space="0" w:color="auto"/>
                <w:bottom w:val="none" w:sz="0" w:space="0" w:color="auto"/>
                <w:right w:val="none" w:sz="0" w:space="0" w:color="auto"/>
              </w:divBdr>
              <w:divsChild>
                <w:div w:id="131753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196</Words>
  <Characters>1120</Characters>
  <Application>Microsoft Office Word</Application>
  <DocSecurity>0</DocSecurity>
  <Lines>9</Lines>
  <Paragraphs>2</Paragraphs>
  <ScaleCrop>false</ScaleCrop>
  <Company>Hewlett-Packard</Company>
  <LinksUpToDate>false</LinksUpToDate>
  <CharactersWithSpaces>1314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dc:creator>
  <cp:lastModifiedBy>CRA</cp:lastModifiedBy>
  <cp:revision>1</cp:revision>
  <dcterms:created xsi:type="dcterms:W3CDTF">2016-01-25T02:40:00Z</dcterms:created>
  <dcterms:modified xsi:type="dcterms:W3CDTF">2016-01-25T02:41:00Z</dcterms:modified>
</cp:coreProperties>
</file>