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C66" w:rsidRPr="00780C66" w:rsidRDefault="00780C66" w:rsidP="00780C66">
      <w:pPr>
        <w:widowControl/>
        <w:shd w:val="clear" w:color="auto" w:fill="FFFFFF"/>
        <w:spacing w:before="204" w:after="204" w:line="336" w:lineRule="atLeast"/>
        <w:jc w:val="center"/>
        <w:textAlignment w:val="baseline"/>
        <w:rPr>
          <w:rFonts w:ascii="Verdana" w:hAnsi="Verdana" w:cs="新細明體"/>
          <w:color w:val="666666"/>
          <w:kern w:val="0"/>
          <w:sz w:val="20"/>
          <w:szCs w:val="20"/>
        </w:rPr>
      </w:pPr>
      <w:r w:rsidRPr="00780C66">
        <w:rPr>
          <w:rFonts w:ascii="Verdana" w:hAnsi="Verdana" w:cs="新細明體"/>
          <w:color w:val="666666"/>
          <w:kern w:val="0"/>
          <w:sz w:val="20"/>
          <w:szCs w:val="20"/>
        </w:rPr>
        <w:t>香港</w:t>
      </w:r>
      <w:proofErr w:type="gramStart"/>
      <w:r w:rsidRPr="00780C66">
        <w:rPr>
          <w:rFonts w:ascii="Verdana" w:hAnsi="Verdana" w:cs="新細明體"/>
          <w:color w:val="666666"/>
          <w:kern w:val="0"/>
          <w:sz w:val="20"/>
          <w:szCs w:val="20"/>
        </w:rPr>
        <w:t>復康會</w:t>
      </w:r>
      <w:proofErr w:type="gramEnd"/>
      <w:r w:rsidRPr="00780C66">
        <w:rPr>
          <w:rFonts w:ascii="Verdana" w:hAnsi="Verdana" w:cs="新細明體"/>
          <w:color w:val="666666"/>
          <w:kern w:val="0"/>
          <w:sz w:val="20"/>
          <w:szCs w:val="20"/>
        </w:rPr>
        <w:t xml:space="preserve"> </w:t>
      </w:r>
      <w:r w:rsidRPr="00780C66">
        <w:rPr>
          <w:rFonts w:ascii="Verdana" w:hAnsi="Verdana" w:cs="新細明體"/>
          <w:color w:val="666666"/>
          <w:kern w:val="0"/>
          <w:sz w:val="20"/>
          <w:szCs w:val="20"/>
        </w:rPr>
        <w:t>研究及倡議中心</w:t>
      </w:r>
      <w:r w:rsidRPr="00780C66">
        <w:rPr>
          <w:rFonts w:ascii="Verdana" w:hAnsi="Verdana" w:cs="新細明體"/>
          <w:color w:val="666666"/>
          <w:kern w:val="0"/>
          <w:sz w:val="20"/>
          <w:szCs w:val="20"/>
        </w:rPr>
        <w:t xml:space="preserve"> </w:t>
      </w:r>
      <w:r w:rsidRPr="00780C66">
        <w:rPr>
          <w:rFonts w:ascii="Verdana" w:hAnsi="Verdana" w:cs="新細明體"/>
          <w:color w:val="666666"/>
          <w:kern w:val="0"/>
          <w:sz w:val="20"/>
          <w:szCs w:val="20"/>
        </w:rPr>
        <w:t>協辦：</w:t>
      </w:r>
      <w:proofErr w:type="gramStart"/>
      <w:r w:rsidRPr="00780C66">
        <w:rPr>
          <w:rFonts w:ascii="Verdana" w:hAnsi="Verdana" w:cs="新細明體"/>
          <w:color w:val="666666"/>
          <w:kern w:val="0"/>
          <w:sz w:val="20"/>
          <w:szCs w:val="20"/>
        </w:rPr>
        <w:t>關注傷津檢討</w:t>
      </w:r>
      <w:proofErr w:type="gramEnd"/>
      <w:r w:rsidRPr="00780C66">
        <w:rPr>
          <w:rFonts w:ascii="Verdana" w:hAnsi="Verdana" w:cs="新細明體"/>
          <w:color w:val="666666"/>
          <w:kern w:val="0"/>
          <w:sz w:val="20"/>
          <w:szCs w:val="20"/>
        </w:rPr>
        <w:t>聯席</w:t>
      </w:r>
    </w:p>
    <w:p w:rsidR="00780C66" w:rsidRPr="00780C66" w:rsidRDefault="00780C66" w:rsidP="00780C66">
      <w:pPr>
        <w:widowControl/>
        <w:shd w:val="clear" w:color="auto" w:fill="FFFFFF"/>
        <w:spacing w:before="204" w:after="204" w:line="336" w:lineRule="atLeast"/>
        <w:jc w:val="center"/>
        <w:textAlignment w:val="baseline"/>
        <w:rPr>
          <w:rFonts w:ascii="Verdana" w:hAnsi="Verdana" w:cs="新細明體"/>
          <w:color w:val="666666"/>
          <w:kern w:val="0"/>
          <w:sz w:val="20"/>
          <w:szCs w:val="20"/>
        </w:rPr>
      </w:pPr>
      <w:r w:rsidRPr="00780C66">
        <w:rPr>
          <w:rFonts w:ascii="Verdana" w:hAnsi="Verdana" w:cs="新細明體"/>
          <w:color w:val="666666"/>
          <w:kern w:val="0"/>
          <w:sz w:val="20"/>
          <w:szCs w:val="20"/>
        </w:rPr>
        <w:t>「殘疾人士及長期病患者的生活狀況和領取傷殘津貼的情況」問卷調查</w:t>
      </w:r>
    </w:p>
    <w:p w:rsidR="00780C66" w:rsidRPr="00780C66" w:rsidRDefault="00780C66" w:rsidP="00780C66">
      <w:pPr>
        <w:widowControl/>
        <w:shd w:val="clear" w:color="auto" w:fill="FFFFFF"/>
        <w:spacing w:before="204" w:after="204" w:line="336" w:lineRule="atLeast"/>
        <w:textAlignment w:val="baseline"/>
        <w:rPr>
          <w:rFonts w:ascii="Verdana" w:hAnsi="Verdana" w:cs="新細明體"/>
          <w:color w:val="666666"/>
          <w:kern w:val="0"/>
          <w:sz w:val="20"/>
          <w:szCs w:val="20"/>
        </w:rPr>
      </w:pPr>
      <w:proofErr w:type="gramStart"/>
      <w:r w:rsidRPr="00780C66">
        <w:rPr>
          <w:rFonts w:ascii="Verdana" w:hAnsi="Verdana" w:cs="新細明體"/>
          <w:color w:val="666666"/>
          <w:kern w:val="0"/>
          <w:sz w:val="20"/>
          <w:szCs w:val="20"/>
        </w:rPr>
        <w:t>撮</w:t>
      </w:r>
      <w:proofErr w:type="gramEnd"/>
      <w:r w:rsidRPr="00780C66">
        <w:rPr>
          <w:rFonts w:ascii="Verdana" w:hAnsi="Verdana" w:cs="新細明體"/>
          <w:color w:val="666666"/>
          <w:kern w:val="0"/>
          <w:sz w:val="20"/>
          <w:szCs w:val="20"/>
        </w:rPr>
        <w:t>要</w:t>
      </w:r>
    </w:p>
    <w:p w:rsidR="00780C66" w:rsidRPr="00780C66" w:rsidRDefault="00780C66" w:rsidP="00780C66">
      <w:pPr>
        <w:widowControl/>
        <w:shd w:val="clear" w:color="auto" w:fill="FFFFFF"/>
        <w:spacing w:before="204" w:after="204" w:line="336" w:lineRule="atLeast"/>
        <w:textAlignment w:val="baseline"/>
        <w:rPr>
          <w:rFonts w:ascii="Verdana" w:hAnsi="Verdana" w:cs="新細明體"/>
          <w:color w:val="666666"/>
          <w:kern w:val="0"/>
          <w:sz w:val="20"/>
          <w:szCs w:val="20"/>
        </w:rPr>
      </w:pPr>
      <w:r w:rsidRPr="00780C66">
        <w:rPr>
          <w:rFonts w:ascii="Verdana" w:hAnsi="Verdana" w:cs="新細明體"/>
          <w:color w:val="666666"/>
          <w:kern w:val="0"/>
          <w:sz w:val="20"/>
          <w:szCs w:val="20"/>
        </w:rPr>
        <w:t>背景</w:t>
      </w:r>
    </w:p>
    <w:p w:rsidR="00780C66" w:rsidRPr="00780C66" w:rsidRDefault="00780C66" w:rsidP="00780C66">
      <w:pPr>
        <w:widowControl/>
        <w:shd w:val="clear" w:color="auto" w:fill="FFFFFF"/>
        <w:spacing w:line="336" w:lineRule="atLeast"/>
        <w:textAlignment w:val="baseline"/>
        <w:rPr>
          <w:rFonts w:ascii="Verdana" w:hAnsi="Verdana" w:cs="新細明體"/>
          <w:color w:val="666666"/>
          <w:kern w:val="0"/>
          <w:sz w:val="20"/>
          <w:szCs w:val="20"/>
        </w:rPr>
      </w:pPr>
      <w:r w:rsidRPr="00780C66">
        <w:rPr>
          <w:rFonts w:ascii="Verdana" w:hAnsi="Verdana" w:cs="新細明體"/>
          <w:color w:val="666666"/>
          <w:kern w:val="0"/>
          <w:sz w:val="20"/>
          <w:szCs w:val="20"/>
        </w:rPr>
        <w:t>由香港</w:t>
      </w:r>
      <w:proofErr w:type="gramStart"/>
      <w:r w:rsidRPr="00780C66">
        <w:rPr>
          <w:rFonts w:ascii="Verdana" w:hAnsi="Verdana" w:cs="新細明體"/>
          <w:color w:val="666666"/>
          <w:kern w:val="0"/>
          <w:sz w:val="20"/>
          <w:szCs w:val="20"/>
        </w:rPr>
        <w:t>復康會研究</w:t>
      </w:r>
      <w:proofErr w:type="gramEnd"/>
      <w:r w:rsidRPr="00780C66">
        <w:rPr>
          <w:rFonts w:ascii="Verdana" w:hAnsi="Verdana" w:cs="新細明體"/>
          <w:color w:val="666666"/>
          <w:kern w:val="0"/>
          <w:sz w:val="20"/>
          <w:szCs w:val="20"/>
        </w:rPr>
        <w:t>及倡議中心主辦，</w:t>
      </w:r>
      <w:proofErr w:type="gramStart"/>
      <w:r w:rsidRPr="00780C66">
        <w:rPr>
          <w:rFonts w:ascii="Verdana" w:hAnsi="Verdana" w:cs="新細明體"/>
          <w:color w:val="666666"/>
          <w:kern w:val="0"/>
          <w:sz w:val="20"/>
          <w:szCs w:val="20"/>
        </w:rPr>
        <w:t>關注傷津檢討</w:t>
      </w:r>
      <w:proofErr w:type="gramEnd"/>
      <w:r w:rsidRPr="00780C66">
        <w:rPr>
          <w:rFonts w:ascii="Verdana" w:hAnsi="Verdana" w:cs="新細明體"/>
          <w:color w:val="666666"/>
          <w:kern w:val="0"/>
          <w:sz w:val="20"/>
          <w:szCs w:val="20"/>
        </w:rPr>
        <w:t>聯席協辦的「殘疾人士及長期病患者的生活狀況」問卷調查已於</w:t>
      </w:r>
      <w:r w:rsidRPr="00780C66">
        <w:rPr>
          <w:rFonts w:ascii="inherit" w:hAnsi="inherit" w:cs="新細明體"/>
          <w:color w:val="666666"/>
          <w:kern w:val="0"/>
          <w:sz w:val="20"/>
          <w:szCs w:val="20"/>
          <w:bdr w:val="none" w:sz="0" w:space="0" w:color="auto" w:frame="1"/>
        </w:rPr>
        <w:t>2013</w:t>
      </w:r>
      <w:r w:rsidRPr="00780C66">
        <w:rPr>
          <w:rFonts w:ascii="Verdana" w:hAnsi="Verdana" w:cs="新細明體"/>
          <w:color w:val="666666"/>
          <w:kern w:val="0"/>
          <w:sz w:val="20"/>
          <w:szCs w:val="20"/>
        </w:rPr>
        <w:t>年</w:t>
      </w:r>
      <w:r w:rsidRPr="00780C66">
        <w:rPr>
          <w:rFonts w:ascii="inherit" w:hAnsi="inherit" w:cs="新細明體"/>
          <w:color w:val="666666"/>
          <w:kern w:val="0"/>
          <w:sz w:val="20"/>
          <w:szCs w:val="20"/>
          <w:bdr w:val="none" w:sz="0" w:space="0" w:color="auto" w:frame="1"/>
        </w:rPr>
        <w:t>1</w:t>
      </w:r>
      <w:r w:rsidRPr="00780C66">
        <w:rPr>
          <w:rFonts w:ascii="Verdana" w:hAnsi="Verdana" w:cs="新細明體"/>
          <w:color w:val="666666"/>
          <w:kern w:val="0"/>
          <w:sz w:val="20"/>
          <w:szCs w:val="20"/>
        </w:rPr>
        <w:t>月至</w:t>
      </w:r>
      <w:r w:rsidRPr="00780C66">
        <w:rPr>
          <w:rFonts w:ascii="inherit" w:hAnsi="inherit" w:cs="新細明體"/>
          <w:color w:val="666666"/>
          <w:kern w:val="0"/>
          <w:sz w:val="20"/>
          <w:szCs w:val="20"/>
          <w:bdr w:val="none" w:sz="0" w:space="0" w:color="auto" w:frame="1"/>
        </w:rPr>
        <w:t>2013</w:t>
      </w:r>
      <w:r w:rsidRPr="00780C66">
        <w:rPr>
          <w:rFonts w:ascii="Verdana" w:hAnsi="Verdana" w:cs="新細明體"/>
          <w:color w:val="666666"/>
          <w:kern w:val="0"/>
          <w:sz w:val="20"/>
          <w:szCs w:val="20"/>
        </w:rPr>
        <w:t>年</w:t>
      </w:r>
      <w:r w:rsidRPr="00780C66">
        <w:rPr>
          <w:rFonts w:ascii="inherit" w:hAnsi="inherit" w:cs="新細明體"/>
          <w:color w:val="666666"/>
          <w:kern w:val="0"/>
          <w:sz w:val="20"/>
          <w:szCs w:val="20"/>
          <w:bdr w:val="none" w:sz="0" w:space="0" w:color="auto" w:frame="1"/>
        </w:rPr>
        <w:t>2</w:t>
      </w:r>
      <w:r w:rsidRPr="00780C66">
        <w:rPr>
          <w:rFonts w:ascii="Verdana" w:hAnsi="Verdana" w:cs="新細明體"/>
          <w:color w:val="666666"/>
          <w:kern w:val="0"/>
          <w:sz w:val="20"/>
          <w:szCs w:val="20"/>
        </w:rPr>
        <w:t>月進行，成功訪問了</w:t>
      </w:r>
      <w:r w:rsidRPr="00780C66">
        <w:rPr>
          <w:rFonts w:ascii="inherit" w:hAnsi="inherit" w:cs="新細明體"/>
          <w:color w:val="666666"/>
          <w:kern w:val="0"/>
          <w:sz w:val="20"/>
          <w:szCs w:val="20"/>
          <w:bdr w:val="none" w:sz="0" w:space="0" w:color="auto" w:frame="1"/>
        </w:rPr>
        <w:t>1,020</w:t>
      </w:r>
      <w:r w:rsidRPr="00780C66">
        <w:rPr>
          <w:rFonts w:ascii="Verdana" w:hAnsi="Verdana" w:cs="新細明體"/>
          <w:color w:val="666666"/>
          <w:kern w:val="0"/>
          <w:sz w:val="20"/>
          <w:szCs w:val="20"/>
        </w:rPr>
        <w:t>位成年的殘疾人士和長期病患者，了解他們的健康、就業、醫療開支、經濟等生活狀況和領取傷殘津貼的情況。</w:t>
      </w:r>
    </w:p>
    <w:p w:rsidR="00780C66" w:rsidRPr="00780C66" w:rsidRDefault="00780C66" w:rsidP="00780C66">
      <w:pPr>
        <w:widowControl/>
        <w:shd w:val="clear" w:color="auto" w:fill="FFFFFF"/>
        <w:spacing w:before="204" w:after="204" w:line="336" w:lineRule="atLeast"/>
        <w:textAlignment w:val="baseline"/>
        <w:rPr>
          <w:rFonts w:ascii="Verdana" w:hAnsi="Verdana" w:cs="新細明體"/>
          <w:color w:val="666666"/>
          <w:kern w:val="0"/>
          <w:sz w:val="20"/>
          <w:szCs w:val="20"/>
        </w:rPr>
      </w:pPr>
      <w:r w:rsidRPr="00780C66">
        <w:rPr>
          <w:rFonts w:ascii="Verdana" w:hAnsi="Verdana" w:cs="新細明體"/>
          <w:color w:val="666666"/>
          <w:kern w:val="0"/>
          <w:sz w:val="20"/>
          <w:szCs w:val="20"/>
        </w:rPr>
        <w:t>主要研究結果</w:t>
      </w:r>
    </w:p>
    <w:p w:rsidR="00780C66" w:rsidRPr="00780C66" w:rsidRDefault="00780C66" w:rsidP="00780C66">
      <w:pPr>
        <w:widowControl/>
        <w:numPr>
          <w:ilvl w:val="0"/>
          <w:numId w:val="1"/>
        </w:numPr>
        <w:shd w:val="clear" w:color="auto" w:fill="FFFFFF"/>
        <w:spacing w:line="336" w:lineRule="atLeast"/>
        <w:ind w:left="444" w:firstLine="0"/>
        <w:textAlignment w:val="baseline"/>
        <w:rPr>
          <w:rFonts w:ascii="inherit" w:hAnsi="inherit" w:cs="新細明體"/>
          <w:color w:val="666666"/>
          <w:kern w:val="0"/>
          <w:sz w:val="20"/>
          <w:szCs w:val="20"/>
        </w:rPr>
      </w:pPr>
      <w:r w:rsidRPr="00780C66">
        <w:rPr>
          <w:rFonts w:ascii="inherit" w:hAnsi="inherit" w:cs="新細明體"/>
          <w:color w:val="666666"/>
          <w:kern w:val="0"/>
          <w:sz w:val="20"/>
          <w:szCs w:val="20"/>
        </w:rPr>
        <w:t>受訪者的特徵</w:t>
      </w:r>
      <w:r w:rsidRPr="00780C66">
        <w:rPr>
          <w:rFonts w:ascii="inherit" w:hAnsi="inherit" w:cs="新細明體"/>
          <w:color w:val="666666"/>
          <w:kern w:val="0"/>
          <w:sz w:val="20"/>
          <w:szCs w:val="20"/>
          <w:bdr w:val="none" w:sz="0" w:space="0" w:color="auto" w:frame="1"/>
        </w:rPr>
        <w:t>/</w:t>
      </w:r>
      <w:r w:rsidRPr="00780C66">
        <w:rPr>
          <w:rFonts w:ascii="inherit" w:hAnsi="inherit" w:cs="新細明體"/>
          <w:color w:val="666666"/>
          <w:kern w:val="0"/>
          <w:sz w:val="20"/>
        </w:rPr>
        <w:t> </w:t>
      </w:r>
      <w:r w:rsidRPr="00780C66">
        <w:rPr>
          <w:rFonts w:ascii="inherit" w:hAnsi="inherit" w:cs="新細明體"/>
          <w:color w:val="666666"/>
          <w:kern w:val="0"/>
          <w:sz w:val="20"/>
          <w:szCs w:val="20"/>
        </w:rPr>
        <w:t>基本資料</w:t>
      </w:r>
    </w:p>
    <w:p w:rsidR="00780C66" w:rsidRPr="00780C66" w:rsidRDefault="00780C66" w:rsidP="00780C66">
      <w:pPr>
        <w:widowControl/>
        <w:shd w:val="clear" w:color="auto" w:fill="FFFFFF"/>
        <w:spacing w:line="336" w:lineRule="atLeast"/>
        <w:textAlignment w:val="baseline"/>
        <w:rPr>
          <w:rFonts w:ascii="Verdana" w:hAnsi="Verdana" w:cs="新細明體"/>
          <w:color w:val="666666"/>
          <w:kern w:val="0"/>
          <w:sz w:val="20"/>
          <w:szCs w:val="20"/>
        </w:rPr>
      </w:pPr>
      <w:r w:rsidRPr="00780C66">
        <w:rPr>
          <w:rFonts w:ascii="Verdana" w:hAnsi="Verdana" w:cs="新細明體"/>
          <w:color w:val="666666"/>
          <w:kern w:val="0"/>
          <w:sz w:val="20"/>
          <w:szCs w:val="20"/>
        </w:rPr>
        <w:t>男性受訪者</w:t>
      </w:r>
      <w:proofErr w:type="gramStart"/>
      <w:r w:rsidRPr="00780C66">
        <w:rPr>
          <w:rFonts w:ascii="Verdana" w:hAnsi="Verdana" w:cs="新細明體"/>
          <w:color w:val="666666"/>
          <w:kern w:val="0"/>
          <w:sz w:val="20"/>
          <w:szCs w:val="20"/>
        </w:rPr>
        <w:t>佔</w:t>
      </w:r>
      <w:proofErr w:type="gramEnd"/>
      <w:r w:rsidRPr="00780C66">
        <w:rPr>
          <w:rFonts w:ascii="Verdana" w:hAnsi="Verdana" w:cs="新細明體"/>
          <w:color w:val="666666"/>
          <w:kern w:val="0"/>
          <w:sz w:val="20"/>
          <w:szCs w:val="20"/>
        </w:rPr>
        <w:t>整體的</w:t>
      </w:r>
      <w:r w:rsidRPr="00780C66">
        <w:rPr>
          <w:rFonts w:ascii="inherit" w:hAnsi="inherit" w:cs="新細明體"/>
          <w:color w:val="666666"/>
          <w:kern w:val="0"/>
          <w:sz w:val="20"/>
          <w:szCs w:val="20"/>
          <w:bdr w:val="none" w:sz="0" w:space="0" w:color="auto" w:frame="1"/>
        </w:rPr>
        <w:t>55.5%</w:t>
      </w:r>
      <w:r w:rsidRPr="00780C66">
        <w:rPr>
          <w:rFonts w:ascii="Verdana" w:hAnsi="Verdana" w:cs="新細明體"/>
          <w:color w:val="666666"/>
          <w:kern w:val="0"/>
          <w:sz w:val="20"/>
          <w:szCs w:val="20"/>
        </w:rPr>
        <w:t>，女性則</w:t>
      </w:r>
      <w:proofErr w:type="gramStart"/>
      <w:r w:rsidRPr="00780C66">
        <w:rPr>
          <w:rFonts w:ascii="Verdana" w:hAnsi="Verdana" w:cs="新細明體"/>
          <w:color w:val="666666"/>
          <w:kern w:val="0"/>
          <w:sz w:val="20"/>
          <w:szCs w:val="20"/>
        </w:rPr>
        <w:t>佔</w:t>
      </w:r>
      <w:proofErr w:type="gramEnd"/>
      <w:r w:rsidRPr="00780C66">
        <w:rPr>
          <w:rFonts w:ascii="inherit" w:hAnsi="inherit" w:cs="新細明體"/>
          <w:color w:val="666666"/>
          <w:kern w:val="0"/>
          <w:sz w:val="20"/>
          <w:szCs w:val="20"/>
          <w:bdr w:val="none" w:sz="0" w:space="0" w:color="auto" w:frame="1"/>
        </w:rPr>
        <w:t>45.5%</w:t>
      </w:r>
      <w:r w:rsidRPr="00780C66">
        <w:rPr>
          <w:rFonts w:ascii="Verdana" w:hAnsi="Verdana" w:cs="新細明體"/>
          <w:color w:val="666666"/>
          <w:kern w:val="0"/>
          <w:sz w:val="20"/>
          <w:szCs w:val="20"/>
        </w:rPr>
        <w:t>。他們的平均年齡為</w:t>
      </w:r>
      <w:r w:rsidRPr="00780C66">
        <w:rPr>
          <w:rFonts w:ascii="inherit" w:hAnsi="inherit" w:cs="新細明體"/>
          <w:color w:val="666666"/>
          <w:kern w:val="0"/>
          <w:sz w:val="20"/>
          <w:szCs w:val="20"/>
          <w:bdr w:val="none" w:sz="0" w:space="0" w:color="auto" w:frame="1"/>
        </w:rPr>
        <w:t>52.1</w:t>
      </w:r>
      <w:r w:rsidRPr="00780C66">
        <w:rPr>
          <w:rFonts w:ascii="Verdana" w:hAnsi="Verdana" w:cs="新細明體"/>
          <w:color w:val="666666"/>
          <w:kern w:val="0"/>
          <w:sz w:val="20"/>
          <w:szCs w:val="20"/>
        </w:rPr>
        <w:t>歲，年齡最小為</w:t>
      </w:r>
      <w:r w:rsidRPr="00780C66">
        <w:rPr>
          <w:rFonts w:ascii="inherit" w:hAnsi="inherit" w:cs="新細明體"/>
          <w:color w:val="666666"/>
          <w:kern w:val="0"/>
          <w:sz w:val="20"/>
          <w:szCs w:val="20"/>
          <w:bdr w:val="none" w:sz="0" w:space="0" w:color="auto" w:frame="1"/>
        </w:rPr>
        <w:t>18</w:t>
      </w:r>
      <w:r w:rsidRPr="00780C66">
        <w:rPr>
          <w:rFonts w:ascii="Verdana" w:hAnsi="Verdana" w:cs="新細明體"/>
          <w:color w:val="666666"/>
          <w:kern w:val="0"/>
          <w:sz w:val="20"/>
          <w:szCs w:val="20"/>
        </w:rPr>
        <w:t>歲，最高為</w:t>
      </w:r>
      <w:r w:rsidRPr="00780C66">
        <w:rPr>
          <w:rFonts w:ascii="inherit" w:hAnsi="inherit" w:cs="新細明體"/>
          <w:color w:val="666666"/>
          <w:kern w:val="0"/>
          <w:sz w:val="20"/>
          <w:szCs w:val="20"/>
          <w:bdr w:val="none" w:sz="0" w:space="0" w:color="auto" w:frame="1"/>
        </w:rPr>
        <w:t>97</w:t>
      </w:r>
      <w:r w:rsidRPr="00780C66">
        <w:rPr>
          <w:rFonts w:ascii="Verdana" w:hAnsi="Verdana" w:cs="新細明體"/>
          <w:color w:val="666666"/>
          <w:kern w:val="0"/>
          <w:sz w:val="20"/>
          <w:szCs w:val="20"/>
        </w:rPr>
        <w:t>歲。</w:t>
      </w:r>
    </w:p>
    <w:p w:rsidR="00780C66" w:rsidRPr="00780C66" w:rsidRDefault="00780C66" w:rsidP="00780C66">
      <w:pPr>
        <w:widowControl/>
        <w:shd w:val="clear" w:color="auto" w:fill="FFFFFF"/>
        <w:spacing w:line="336" w:lineRule="atLeast"/>
        <w:textAlignment w:val="baseline"/>
        <w:rPr>
          <w:rFonts w:ascii="Verdana" w:hAnsi="Verdana" w:cs="新細明體"/>
          <w:color w:val="666666"/>
          <w:kern w:val="0"/>
          <w:sz w:val="20"/>
          <w:szCs w:val="20"/>
        </w:rPr>
      </w:pPr>
      <w:r w:rsidRPr="00780C66">
        <w:rPr>
          <w:rFonts w:ascii="Verdana" w:hAnsi="Verdana" w:cs="新細明體"/>
          <w:color w:val="666666"/>
          <w:kern w:val="0"/>
          <w:sz w:val="20"/>
          <w:szCs w:val="20"/>
        </w:rPr>
        <w:t>殘疾和長期病患類別方面，是次調查中包括殘疾和長期病兩大類別。殘疾人士方面，受訪者有肢體傷殘</w:t>
      </w:r>
      <w:proofErr w:type="gramStart"/>
      <w:r w:rsidRPr="00780C66">
        <w:rPr>
          <w:rFonts w:ascii="Verdana" w:hAnsi="Verdana" w:cs="新細明體"/>
          <w:color w:val="666666"/>
          <w:kern w:val="0"/>
          <w:sz w:val="20"/>
          <w:szCs w:val="20"/>
        </w:rPr>
        <w:t>佔</w:t>
      </w:r>
      <w:proofErr w:type="gramEnd"/>
      <w:r w:rsidRPr="00780C66">
        <w:rPr>
          <w:rFonts w:ascii="Verdana" w:hAnsi="Verdana" w:cs="新細明體"/>
          <w:color w:val="666666"/>
          <w:kern w:val="0"/>
          <w:sz w:val="20"/>
          <w:szCs w:val="20"/>
        </w:rPr>
        <w:t>多於三份之</w:t>
      </w:r>
      <w:proofErr w:type="gramStart"/>
      <w:r w:rsidRPr="00780C66">
        <w:rPr>
          <w:rFonts w:ascii="Verdana" w:hAnsi="Verdana" w:cs="新細明體"/>
          <w:color w:val="666666"/>
          <w:kern w:val="0"/>
          <w:sz w:val="20"/>
          <w:szCs w:val="20"/>
        </w:rPr>
        <w:t>一</w:t>
      </w:r>
      <w:proofErr w:type="gramEnd"/>
      <w:r w:rsidRPr="00780C66">
        <w:rPr>
          <w:rFonts w:ascii="inherit" w:hAnsi="inherit" w:cs="新細明體"/>
          <w:color w:val="666666"/>
          <w:kern w:val="0"/>
          <w:sz w:val="20"/>
          <w:szCs w:val="20"/>
          <w:bdr w:val="none" w:sz="0" w:space="0" w:color="auto" w:frame="1"/>
        </w:rPr>
        <w:t>(33%)</w:t>
      </w:r>
      <w:r w:rsidRPr="00780C66">
        <w:rPr>
          <w:rFonts w:ascii="Verdana" w:hAnsi="Verdana" w:cs="新細明體"/>
          <w:color w:val="666666"/>
          <w:kern w:val="0"/>
          <w:sz w:val="20"/>
          <w:szCs w:val="20"/>
        </w:rPr>
        <w:t>，聽障</w:t>
      </w:r>
      <w:r w:rsidRPr="00780C66">
        <w:rPr>
          <w:rFonts w:ascii="inherit" w:hAnsi="inherit" w:cs="新細明體"/>
          <w:color w:val="666666"/>
          <w:kern w:val="0"/>
          <w:sz w:val="20"/>
          <w:szCs w:val="20"/>
          <w:bdr w:val="none" w:sz="0" w:space="0" w:color="auto" w:frame="1"/>
        </w:rPr>
        <w:t>(14%)</w:t>
      </w:r>
      <w:r w:rsidRPr="00780C66">
        <w:rPr>
          <w:rFonts w:ascii="Verdana" w:hAnsi="Verdana" w:cs="新細明體"/>
          <w:color w:val="666666"/>
          <w:kern w:val="0"/>
          <w:sz w:val="20"/>
          <w:szCs w:val="20"/>
        </w:rPr>
        <w:t>、視障</w:t>
      </w:r>
      <w:r w:rsidRPr="00780C66">
        <w:rPr>
          <w:rFonts w:ascii="inherit" w:hAnsi="inherit" w:cs="新細明體"/>
          <w:color w:val="666666"/>
          <w:kern w:val="0"/>
          <w:sz w:val="20"/>
          <w:szCs w:val="20"/>
          <w:bdr w:val="none" w:sz="0" w:space="0" w:color="auto" w:frame="1"/>
        </w:rPr>
        <w:t>(13%)</w:t>
      </w:r>
      <w:r w:rsidRPr="00780C66">
        <w:rPr>
          <w:rFonts w:ascii="Verdana" w:hAnsi="Verdana" w:cs="新細明體"/>
          <w:color w:val="666666"/>
          <w:kern w:val="0"/>
          <w:sz w:val="20"/>
          <w:szCs w:val="20"/>
        </w:rPr>
        <w:t>、精神病</w:t>
      </w:r>
      <w:r w:rsidRPr="00780C66">
        <w:rPr>
          <w:rFonts w:ascii="inherit" w:hAnsi="inherit" w:cs="新細明體"/>
          <w:color w:val="666666"/>
          <w:kern w:val="0"/>
          <w:sz w:val="20"/>
          <w:szCs w:val="20"/>
          <w:bdr w:val="none" w:sz="0" w:space="0" w:color="auto" w:frame="1"/>
        </w:rPr>
        <w:t>/</w:t>
      </w:r>
      <w:r w:rsidRPr="00780C66">
        <w:rPr>
          <w:rFonts w:ascii="Verdana" w:hAnsi="Verdana" w:cs="新細明體"/>
          <w:color w:val="666666"/>
          <w:kern w:val="0"/>
          <w:sz w:val="20"/>
          <w:szCs w:val="20"/>
        </w:rPr>
        <w:t>情緒病</w:t>
      </w:r>
      <w:r w:rsidRPr="00780C66">
        <w:rPr>
          <w:rFonts w:ascii="inherit" w:hAnsi="inherit" w:cs="新細明體"/>
          <w:color w:val="666666"/>
          <w:kern w:val="0"/>
          <w:sz w:val="20"/>
          <w:szCs w:val="20"/>
          <w:bdr w:val="none" w:sz="0" w:space="0" w:color="auto" w:frame="1"/>
        </w:rPr>
        <w:t>(14%)</w:t>
      </w:r>
      <w:r w:rsidRPr="00780C66">
        <w:rPr>
          <w:rFonts w:ascii="Verdana" w:hAnsi="Verdana" w:cs="新細明體"/>
          <w:color w:val="666666"/>
          <w:kern w:val="0"/>
          <w:sz w:val="20"/>
          <w:szCs w:val="20"/>
        </w:rPr>
        <w:t>和言語障礙</w:t>
      </w:r>
      <w:r w:rsidRPr="00780C66">
        <w:rPr>
          <w:rFonts w:ascii="inherit" w:hAnsi="inherit" w:cs="新細明體"/>
          <w:color w:val="666666"/>
          <w:kern w:val="0"/>
          <w:sz w:val="20"/>
          <w:szCs w:val="20"/>
          <w:bdr w:val="none" w:sz="0" w:space="0" w:color="auto" w:frame="1"/>
        </w:rPr>
        <w:t>(10%)</w:t>
      </w:r>
      <w:r w:rsidRPr="00780C66">
        <w:rPr>
          <w:rFonts w:ascii="Verdana" w:hAnsi="Verdana" w:cs="新細明體"/>
          <w:color w:val="666666"/>
          <w:kern w:val="0"/>
          <w:sz w:val="20"/>
          <w:szCs w:val="20"/>
        </w:rPr>
        <w:t>。至於智障</w:t>
      </w:r>
      <w:r w:rsidRPr="00780C66">
        <w:rPr>
          <w:rFonts w:ascii="inherit" w:hAnsi="inherit" w:cs="新細明體"/>
          <w:color w:val="666666"/>
          <w:kern w:val="0"/>
          <w:sz w:val="20"/>
          <w:szCs w:val="20"/>
          <w:bdr w:val="none" w:sz="0" w:space="0" w:color="auto" w:frame="1"/>
        </w:rPr>
        <w:t>(9%)</w:t>
      </w:r>
      <w:r w:rsidRPr="00780C66">
        <w:rPr>
          <w:rFonts w:ascii="Verdana" w:hAnsi="Verdana" w:cs="新細明體"/>
          <w:color w:val="666666"/>
          <w:kern w:val="0"/>
          <w:sz w:val="20"/>
          <w:szCs w:val="20"/>
        </w:rPr>
        <w:t>和特殊學習困難</w:t>
      </w:r>
      <w:r w:rsidRPr="00780C66">
        <w:rPr>
          <w:rFonts w:ascii="inherit" w:hAnsi="inherit" w:cs="新細明體"/>
          <w:color w:val="666666"/>
          <w:kern w:val="0"/>
          <w:sz w:val="20"/>
          <w:szCs w:val="20"/>
          <w:bdr w:val="none" w:sz="0" w:space="0" w:color="auto" w:frame="1"/>
        </w:rPr>
        <w:t>/</w:t>
      </w:r>
      <w:r w:rsidRPr="00780C66">
        <w:rPr>
          <w:rFonts w:ascii="Verdana" w:hAnsi="Verdana" w:cs="新細明體"/>
          <w:color w:val="666666"/>
          <w:kern w:val="0"/>
          <w:sz w:val="20"/>
          <w:szCs w:val="20"/>
        </w:rPr>
        <w:t>注意力不足</w:t>
      </w:r>
      <w:r w:rsidRPr="00780C66">
        <w:rPr>
          <w:rFonts w:ascii="inherit" w:hAnsi="inherit" w:cs="新細明體"/>
          <w:color w:val="666666"/>
          <w:kern w:val="0"/>
          <w:sz w:val="20"/>
          <w:szCs w:val="20"/>
          <w:bdr w:val="none" w:sz="0" w:space="0" w:color="auto" w:frame="1"/>
        </w:rPr>
        <w:t>/</w:t>
      </w:r>
      <w:r w:rsidRPr="00780C66">
        <w:rPr>
          <w:rFonts w:ascii="Verdana" w:hAnsi="Verdana" w:cs="新細明體"/>
          <w:color w:val="666666"/>
          <w:kern w:val="0"/>
          <w:sz w:val="20"/>
          <w:szCs w:val="20"/>
        </w:rPr>
        <w:t>過度</w:t>
      </w:r>
      <w:proofErr w:type="gramStart"/>
      <w:r w:rsidRPr="00780C66">
        <w:rPr>
          <w:rFonts w:ascii="Verdana" w:hAnsi="Verdana" w:cs="新細明體"/>
          <w:color w:val="666666"/>
          <w:kern w:val="0"/>
          <w:sz w:val="20"/>
          <w:szCs w:val="20"/>
        </w:rPr>
        <w:t>活躍症</w:t>
      </w:r>
      <w:proofErr w:type="gramEnd"/>
      <w:r w:rsidRPr="00780C66">
        <w:rPr>
          <w:rFonts w:ascii="inherit" w:hAnsi="inherit" w:cs="新細明體"/>
          <w:color w:val="666666"/>
          <w:kern w:val="0"/>
          <w:sz w:val="20"/>
          <w:szCs w:val="20"/>
          <w:bdr w:val="none" w:sz="0" w:space="0" w:color="auto" w:frame="1"/>
        </w:rPr>
        <w:t>/</w:t>
      </w:r>
      <w:r w:rsidRPr="00780C66">
        <w:rPr>
          <w:rFonts w:ascii="Verdana" w:hAnsi="Verdana" w:cs="新細明體"/>
          <w:color w:val="666666"/>
          <w:kern w:val="0"/>
          <w:sz w:val="20"/>
          <w:szCs w:val="20"/>
        </w:rPr>
        <w:t>自閉症</w:t>
      </w:r>
      <w:r w:rsidRPr="00780C66">
        <w:rPr>
          <w:rFonts w:ascii="inherit" w:hAnsi="inherit" w:cs="新細明體"/>
          <w:color w:val="666666"/>
          <w:kern w:val="0"/>
          <w:sz w:val="20"/>
          <w:szCs w:val="20"/>
          <w:bdr w:val="none" w:sz="0" w:space="0" w:color="auto" w:frame="1"/>
        </w:rPr>
        <w:t>(9%)</w:t>
      </w:r>
      <w:r w:rsidRPr="00780C66">
        <w:rPr>
          <w:rFonts w:ascii="Verdana" w:hAnsi="Verdana" w:cs="新細明體"/>
          <w:color w:val="666666"/>
          <w:kern w:val="0"/>
          <w:sz w:val="20"/>
          <w:szCs w:val="20"/>
        </w:rPr>
        <w:t>的受訪者兩者均不足</w:t>
      </w:r>
      <w:r w:rsidRPr="00780C66">
        <w:rPr>
          <w:rFonts w:ascii="inherit" w:hAnsi="inherit" w:cs="新細明體"/>
          <w:color w:val="666666"/>
          <w:kern w:val="0"/>
          <w:sz w:val="20"/>
          <w:szCs w:val="20"/>
          <w:bdr w:val="none" w:sz="0" w:space="0" w:color="auto" w:frame="1"/>
        </w:rPr>
        <w:t>10%</w:t>
      </w:r>
      <w:r w:rsidRPr="00780C66">
        <w:rPr>
          <w:rFonts w:ascii="Verdana" w:hAnsi="Verdana" w:cs="新細明體"/>
          <w:color w:val="666666"/>
          <w:kern w:val="0"/>
          <w:sz w:val="20"/>
          <w:szCs w:val="20"/>
        </w:rPr>
        <w:t>。</w:t>
      </w:r>
    </w:p>
    <w:p w:rsidR="00780C66" w:rsidRPr="00780C66" w:rsidRDefault="00780C66" w:rsidP="00780C66">
      <w:pPr>
        <w:widowControl/>
        <w:shd w:val="clear" w:color="auto" w:fill="FFFFFF"/>
        <w:spacing w:line="336" w:lineRule="atLeast"/>
        <w:textAlignment w:val="baseline"/>
        <w:rPr>
          <w:rFonts w:ascii="Verdana" w:hAnsi="Verdana" w:cs="新細明體"/>
          <w:color w:val="666666"/>
          <w:kern w:val="0"/>
          <w:sz w:val="20"/>
          <w:szCs w:val="20"/>
        </w:rPr>
      </w:pPr>
      <w:r w:rsidRPr="00780C66">
        <w:rPr>
          <w:rFonts w:ascii="Verdana" w:hAnsi="Verdana" w:cs="新細明體"/>
          <w:color w:val="666666"/>
          <w:kern w:val="0"/>
          <w:sz w:val="20"/>
          <w:szCs w:val="20"/>
        </w:rPr>
        <w:t>長期病患者方面，糖尿病患者</w:t>
      </w:r>
      <w:proofErr w:type="gramStart"/>
      <w:r w:rsidRPr="00780C66">
        <w:rPr>
          <w:rFonts w:ascii="Verdana" w:hAnsi="Verdana" w:cs="新細明體"/>
          <w:color w:val="666666"/>
          <w:kern w:val="0"/>
          <w:sz w:val="20"/>
          <w:szCs w:val="20"/>
        </w:rPr>
        <w:t>佔</w:t>
      </w:r>
      <w:proofErr w:type="gramEnd"/>
      <w:r w:rsidRPr="00780C66">
        <w:rPr>
          <w:rFonts w:ascii="Verdana" w:hAnsi="Verdana" w:cs="新細明體"/>
          <w:color w:val="666666"/>
          <w:kern w:val="0"/>
          <w:sz w:val="20"/>
          <w:szCs w:val="20"/>
        </w:rPr>
        <w:t>整體的</w:t>
      </w:r>
      <w:r w:rsidRPr="00780C66">
        <w:rPr>
          <w:rFonts w:ascii="inherit" w:hAnsi="inherit" w:cs="新細明體"/>
          <w:color w:val="666666"/>
          <w:kern w:val="0"/>
          <w:sz w:val="20"/>
          <w:szCs w:val="20"/>
          <w:bdr w:val="none" w:sz="0" w:space="0" w:color="auto" w:frame="1"/>
        </w:rPr>
        <w:t>22%</w:t>
      </w:r>
      <w:r w:rsidRPr="00780C66">
        <w:rPr>
          <w:rFonts w:ascii="Verdana" w:hAnsi="Verdana" w:cs="新細明體"/>
          <w:color w:val="666666"/>
          <w:kern w:val="0"/>
          <w:sz w:val="20"/>
          <w:szCs w:val="20"/>
        </w:rPr>
        <w:t>。超過</w:t>
      </w:r>
      <w:r w:rsidRPr="00780C66">
        <w:rPr>
          <w:rFonts w:ascii="inherit" w:hAnsi="inherit" w:cs="新細明體"/>
          <w:color w:val="666666"/>
          <w:kern w:val="0"/>
          <w:sz w:val="20"/>
          <w:szCs w:val="20"/>
          <w:bdr w:val="none" w:sz="0" w:space="0" w:color="auto" w:frame="1"/>
        </w:rPr>
        <w:t>10%</w:t>
      </w:r>
      <w:r w:rsidRPr="00780C66">
        <w:rPr>
          <w:rFonts w:ascii="Verdana" w:hAnsi="Verdana" w:cs="新細明體"/>
          <w:color w:val="666666"/>
          <w:kern w:val="0"/>
          <w:sz w:val="20"/>
          <w:szCs w:val="20"/>
        </w:rPr>
        <w:t>受訪者患有心臟病</w:t>
      </w:r>
      <w:r w:rsidRPr="00780C66">
        <w:rPr>
          <w:rFonts w:ascii="inherit" w:hAnsi="inherit" w:cs="新細明體"/>
          <w:color w:val="666666"/>
          <w:kern w:val="0"/>
          <w:sz w:val="20"/>
          <w:szCs w:val="20"/>
          <w:bdr w:val="none" w:sz="0" w:space="0" w:color="auto" w:frame="1"/>
        </w:rPr>
        <w:t>(13%)</w:t>
      </w:r>
      <w:r w:rsidRPr="00780C66">
        <w:rPr>
          <w:rFonts w:ascii="Verdana" w:hAnsi="Verdana" w:cs="新細明體"/>
          <w:color w:val="666666"/>
          <w:kern w:val="0"/>
          <w:sz w:val="20"/>
          <w:szCs w:val="20"/>
        </w:rPr>
        <w:t>、腎病</w:t>
      </w:r>
      <w:r w:rsidRPr="00780C66">
        <w:rPr>
          <w:rFonts w:ascii="inherit" w:hAnsi="inherit" w:cs="新細明體"/>
          <w:color w:val="666666"/>
          <w:kern w:val="0"/>
          <w:sz w:val="20"/>
          <w:szCs w:val="20"/>
          <w:bdr w:val="none" w:sz="0" w:space="0" w:color="auto" w:frame="1"/>
        </w:rPr>
        <w:t>(13%)</w:t>
      </w:r>
      <w:r w:rsidRPr="00780C66">
        <w:rPr>
          <w:rFonts w:ascii="Verdana" w:hAnsi="Verdana" w:cs="新細明體"/>
          <w:color w:val="666666"/>
          <w:kern w:val="0"/>
          <w:sz w:val="20"/>
          <w:szCs w:val="20"/>
        </w:rPr>
        <w:t>和中風</w:t>
      </w:r>
      <w:r w:rsidRPr="00780C66">
        <w:rPr>
          <w:rFonts w:ascii="inherit" w:hAnsi="inherit" w:cs="新細明體"/>
          <w:color w:val="666666"/>
          <w:kern w:val="0"/>
          <w:sz w:val="20"/>
          <w:szCs w:val="20"/>
          <w:bdr w:val="none" w:sz="0" w:space="0" w:color="auto" w:frame="1"/>
        </w:rPr>
        <w:t>(13%)</w:t>
      </w:r>
      <w:r w:rsidRPr="00780C66">
        <w:rPr>
          <w:rFonts w:ascii="Verdana" w:hAnsi="Verdana" w:cs="新細明體"/>
          <w:color w:val="666666"/>
          <w:kern w:val="0"/>
          <w:sz w:val="20"/>
          <w:szCs w:val="20"/>
        </w:rPr>
        <w:t>。患有類風濕性關節炎</w:t>
      </w:r>
      <w:r w:rsidRPr="00780C66">
        <w:rPr>
          <w:rFonts w:ascii="inherit" w:hAnsi="inherit" w:cs="新細明體"/>
          <w:color w:val="666666"/>
          <w:kern w:val="0"/>
          <w:sz w:val="20"/>
          <w:szCs w:val="20"/>
          <w:bdr w:val="none" w:sz="0" w:space="0" w:color="auto" w:frame="1"/>
        </w:rPr>
        <w:t>(10%)</w:t>
      </w:r>
      <w:r w:rsidRPr="00780C66">
        <w:rPr>
          <w:rFonts w:ascii="Verdana" w:hAnsi="Verdana" w:cs="新細明體"/>
          <w:color w:val="666666"/>
          <w:kern w:val="0"/>
          <w:sz w:val="20"/>
          <w:szCs w:val="20"/>
        </w:rPr>
        <w:t>、腦</w:t>
      </w:r>
      <w:proofErr w:type="gramStart"/>
      <w:r w:rsidRPr="00780C66">
        <w:rPr>
          <w:rFonts w:ascii="Verdana" w:hAnsi="Verdana" w:cs="新細明體"/>
          <w:color w:val="666666"/>
          <w:kern w:val="0"/>
          <w:sz w:val="20"/>
          <w:szCs w:val="20"/>
        </w:rPr>
        <w:t>癇</w:t>
      </w:r>
      <w:proofErr w:type="gramEnd"/>
      <w:r w:rsidRPr="00780C66">
        <w:rPr>
          <w:rFonts w:ascii="Verdana" w:hAnsi="Verdana" w:cs="新細明體"/>
          <w:color w:val="666666"/>
          <w:kern w:val="0"/>
          <w:sz w:val="20"/>
          <w:szCs w:val="20"/>
        </w:rPr>
        <w:t>症</w:t>
      </w:r>
      <w:r w:rsidRPr="00780C66">
        <w:rPr>
          <w:rFonts w:ascii="inherit" w:hAnsi="inherit" w:cs="新細明體"/>
          <w:color w:val="666666"/>
          <w:kern w:val="0"/>
          <w:sz w:val="20"/>
          <w:szCs w:val="20"/>
          <w:bdr w:val="none" w:sz="0" w:space="0" w:color="auto" w:frame="1"/>
        </w:rPr>
        <w:t>(8%)</w:t>
      </w:r>
      <w:r w:rsidRPr="00780C66">
        <w:rPr>
          <w:rFonts w:ascii="Verdana" w:hAnsi="Verdana" w:cs="新細明體"/>
          <w:color w:val="666666"/>
          <w:kern w:val="0"/>
          <w:sz w:val="20"/>
          <w:szCs w:val="20"/>
        </w:rPr>
        <w:t>和柏金遜症</w:t>
      </w:r>
      <w:r w:rsidRPr="00780C66">
        <w:rPr>
          <w:rFonts w:ascii="inherit" w:hAnsi="inherit" w:cs="新細明體"/>
          <w:color w:val="666666"/>
          <w:kern w:val="0"/>
          <w:sz w:val="20"/>
          <w:szCs w:val="20"/>
          <w:bdr w:val="none" w:sz="0" w:space="0" w:color="auto" w:frame="1"/>
        </w:rPr>
        <w:t>(8%)</w:t>
      </w:r>
      <w:r w:rsidRPr="00780C66">
        <w:rPr>
          <w:rFonts w:ascii="Verdana" w:hAnsi="Verdana" w:cs="新細明體"/>
          <w:color w:val="666666"/>
          <w:kern w:val="0"/>
          <w:sz w:val="20"/>
          <w:szCs w:val="20"/>
        </w:rPr>
        <w:t>的受訪者</w:t>
      </w:r>
      <w:proofErr w:type="gramStart"/>
      <w:r w:rsidRPr="00780C66">
        <w:rPr>
          <w:rFonts w:ascii="Verdana" w:hAnsi="Verdana" w:cs="新細明體"/>
          <w:color w:val="666666"/>
          <w:kern w:val="0"/>
          <w:sz w:val="20"/>
          <w:szCs w:val="20"/>
        </w:rPr>
        <w:t>佔</w:t>
      </w:r>
      <w:proofErr w:type="gramEnd"/>
      <w:r w:rsidRPr="00780C66">
        <w:rPr>
          <w:rFonts w:ascii="Verdana" w:hAnsi="Verdana" w:cs="新細明體"/>
          <w:color w:val="666666"/>
          <w:kern w:val="0"/>
          <w:sz w:val="20"/>
          <w:szCs w:val="20"/>
        </w:rPr>
        <w:t>整體超過</w:t>
      </w:r>
      <w:r w:rsidRPr="00780C66">
        <w:rPr>
          <w:rFonts w:ascii="inherit" w:hAnsi="inherit" w:cs="新細明體"/>
          <w:color w:val="666666"/>
          <w:kern w:val="0"/>
          <w:sz w:val="20"/>
          <w:szCs w:val="20"/>
          <w:bdr w:val="none" w:sz="0" w:space="0" w:color="auto" w:frame="1"/>
        </w:rPr>
        <w:t>5%</w:t>
      </w:r>
      <w:r w:rsidRPr="00780C66">
        <w:rPr>
          <w:rFonts w:ascii="Verdana" w:hAnsi="Verdana" w:cs="新細明體"/>
          <w:color w:val="666666"/>
          <w:kern w:val="0"/>
          <w:sz w:val="20"/>
          <w:szCs w:val="20"/>
        </w:rPr>
        <w:t>但少於</w:t>
      </w:r>
      <w:r w:rsidRPr="00780C66">
        <w:rPr>
          <w:rFonts w:ascii="inherit" w:hAnsi="inherit" w:cs="新細明體"/>
          <w:color w:val="666666"/>
          <w:kern w:val="0"/>
          <w:sz w:val="20"/>
          <w:szCs w:val="20"/>
          <w:bdr w:val="none" w:sz="0" w:space="0" w:color="auto" w:frame="1"/>
        </w:rPr>
        <w:t>10%</w:t>
      </w:r>
      <w:r w:rsidRPr="00780C66">
        <w:rPr>
          <w:rFonts w:ascii="Verdana" w:hAnsi="Verdana" w:cs="新細明體"/>
          <w:color w:val="666666"/>
          <w:kern w:val="0"/>
          <w:sz w:val="20"/>
          <w:szCs w:val="20"/>
        </w:rPr>
        <w:t>。受訪者當中，</w:t>
      </w:r>
      <w:r w:rsidRPr="00780C66">
        <w:rPr>
          <w:rFonts w:ascii="inherit" w:hAnsi="inherit" w:cs="新細明體"/>
          <w:color w:val="666666"/>
          <w:kern w:val="0"/>
          <w:sz w:val="20"/>
          <w:szCs w:val="20"/>
          <w:bdr w:val="none" w:sz="0" w:space="0" w:color="auto" w:frame="1"/>
        </w:rPr>
        <w:t>44%</w:t>
      </w:r>
      <w:r w:rsidRPr="00780C66">
        <w:rPr>
          <w:rFonts w:ascii="Verdana" w:hAnsi="Verdana" w:cs="新細明體"/>
          <w:color w:val="666666"/>
          <w:kern w:val="0"/>
          <w:sz w:val="20"/>
          <w:szCs w:val="20"/>
        </w:rPr>
        <w:t>受訪者大多有多於一種的殘疾或長期病患。</w:t>
      </w:r>
    </w:p>
    <w:p w:rsidR="00780C66" w:rsidRPr="00780C66" w:rsidRDefault="00780C66" w:rsidP="00780C66">
      <w:pPr>
        <w:widowControl/>
        <w:numPr>
          <w:ilvl w:val="0"/>
          <w:numId w:val="2"/>
        </w:numPr>
        <w:shd w:val="clear" w:color="auto" w:fill="FFFFFF"/>
        <w:spacing w:line="336" w:lineRule="atLeast"/>
        <w:ind w:left="444" w:firstLine="0"/>
        <w:textAlignment w:val="baseline"/>
        <w:rPr>
          <w:rFonts w:ascii="inherit" w:hAnsi="inherit" w:cs="新細明體"/>
          <w:color w:val="666666"/>
          <w:kern w:val="0"/>
          <w:sz w:val="20"/>
          <w:szCs w:val="20"/>
        </w:rPr>
      </w:pPr>
      <w:r w:rsidRPr="00780C66">
        <w:rPr>
          <w:rFonts w:ascii="inherit" w:hAnsi="inherit" w:cs="新細明體"/>
          <w:color w:val="666666"/>
          <w:kern w:val="0"/>
          <w:sz w:val="20"/>
          <w:szCs w:val="20"/>
        </w:rPr>
        <w:t>殘疾人士和長期病患者的就業和收入情況</w:t>
      </w:r>
    </w:p>
    <w:p w:rsidR="00780C66" w:rsidRPr="00780C66" w:rsidRDefault="00780C66" w:rsidP="00780C66">
      <w:pPr>
        <w:widowControl/>
        <w:shd w:val="clear" w:color="auto" w:fill="FFFFFF"/>
        <w:spacing w:line="336" w:lineRule="atLeast"/>
        <w:textAlignment w:val="baseline"/>
        <w:rPr>
          <w:rFonts w:ascii="Verdana" w:hAnsi="Verdana" w:cs="新細明體"/>
          <w:color w:val="666666"/>
          <w:kern w:val="0"/>
          <w:sz w:val="20"/>
          <w:szCs w:val="20"/>
        </w:rPr>
      </w:pPr>
      <w:r w:rsidRPr="00780C66">
        <w:rPr>
          <w:rFonts w:ascii="Verdana" w:hAnsi="Verdana" w:cs="新細明體"/>
          <w:color w:val="666666"/>
          <w:kern w:val="0"/>
          <w:sz w:val="20"/>
          <w:szCs w:val="20"/>
        </w:rPr>
        <w:t>共</w:t>
      </w:r>
      <w:r w:rsidRPr="00780C66">
        <w:rPr>
          <w:rFonts w:ascii="inherit" w:hAnsi="inherit" w:cs="新細明體"/>
          <w:color w:val="666666"/>
          <w:kern w:val="0"/>
          <w:sz w:val="20"/>
          <w:szCs w:val="20"/>
          <w:bdr w:val="none" w:sz="0" w:space="0" w:color="auto" w:frame="1"/>
        </w:rPr>
        <w:t>1,020</w:t>
      </w:r>
      <w:r w:rsidRPr="00780C66">
        <w:rPr>
          <w:rFonts w:ascii="Verdana" w:hAnsi="Verdana" w:cs="新細明體"/>
          <w:color w:val="666666"/>
          <w:kern w:val="0"/>
          <w:sz w:val="20"/>
          <w:szCs w:val="20"/>
        </w:rPr>
        <w:t>名受訪者中，多於一半是退休人士、學生或家庭主婦</w:t>
      </w:r>
      <w:r w:rsidRPr="00780C66">
        <w:rPr>
          <w:rFonts w:ascii="inherit" w:hAnsi="inherit" w:cs="新細明體"/>
          <w:color w:val="666666"/>
          <w:kern w:val="0"/>
          <w:sz w:val="20"/>
          <w:szCs w:val="20"/>
          <w:bdr w:val="none" w:sz="0" w:space="0" w:color="auto" w:frame="1"/>
        </w:rPr>
        <w:t>(54.3%)</w:t>
      </w:r>
      <w:r w:rsidRPr="00780C66">
        <w:rPr>
          <w:rFonts w:ascii="Verdana" w:hAnsi="Verdana" w:cs="新細明體"/>
          <w:color w:val="666666"/>
          <w:kern w:val="0"/>
          <w:sz w:val="20"/>
          <w:szCs w:val="20"/>
        </w:rPr>
        <w:t>，只有</w:t>
      </w:r>
      <w:r w:rsidRPr="00780C66">
        <w:rPr>
          <w:rFonts w:ascii="inherit" w:hAnsi="inherit" w:cs="新細明體"/>
          <w:color w:val="666666"/>
          <w:kern w:val="0"/>
          <w:sz w:val="20"/>
          <w:szCs w:val="20"/>
          <w:bdr w:val="none" w:sz="0" w:space="0" w:color="auto" w:frame="1"/>
        </w:rPr>
        <w:t>22.5%</w:t>
      </w:r>
      <w:r w:rsidRPr="00780C66">
        <w:rPr>
          <w:rFonts w:ascii="Verdana" w:hAnsi="Verdana" w:cs="新細明體"/>
          <w:color w:val="666666"/>
          <w:kern w:val="0"/>
          <w:sz w:val="20"/>
          <w:szCs w:val="20"/>
        </w:rPr>
        <w:t>在過去三個月內從事全職或兼職工作。然而，接近四份</w:t>
      </w:r>
      <w:proofErr w:type="gramStart"/>
      <w:r w:rsidRPr="00780C66">
        <w:rPr>
          <w:rFonts w:ascii="Verdana" w:hAnsi="Verdana" w:cs="新細明體"/>
          <w:color w:val="666666"/>
          <w:kern w:val="0"/>
          <w:sz w:val="20"/>
          <w:szCs w:val="20"/>
        </w:rPr>
        <w:t>一</w:t>
      </w:r>
      <w:proofErr w:type="gramEnd"/>
      <w:r w:rsidRPr="00780C66">
        <w:rPr>
          <w:rFonts w:ascii="inherit" w:hAnsi="inherit" w:cs="新細明體"/>
          <w:color w:val="666666"/>
          <w:kern w:val="0"/>
          <w:sz w:val="20"/>
          <w:szCs w:val="20"/>
          <w:bdr w:val="none" w:sz="0" w:space="0" w:color="auto" w:frame="1"/>
        </w:rPr>
        <w:t>(23.2%)</w:t>
      </w:r>
      <w:r w:rsidRPr="00780C66">
        <w:rPr>
          <w:rFonts w:ascii="Verdana" w:hAnsi="Verdana" w:cs="新細明體"/>
          <w:color w:val="666666"/>
          <w:kern w:val="0"/>
          <w:sz w:val="20"/>
          <w:szCs w:val="20"/>
        </w:rPr>
        <w:t>受訪者正失業或從來未曾工作。</w:t>
      </w:r>
    </w:p>
    <w:p w:rsidR="00780C66" w:rsidRPr="00780C66" w:rsidRDefault="00780C66" w:rsidP="00780C66">
      <w:pPr>
        <w:widowControl/>
        <w:shd w:val="clear" w:color="auto" w:fill="FFFFFF"/>
        <w:spacing w:before="204" w:after="204" w:line="336" w:lineRule="atLeast"/>
        <w:textAlignment w:val="baseline"/>
        <w:rPr>
          <w:rFonts w:ascii="Verdana" w:hAnsi="Verdana" w:cs="新細明體"/>
          <w:color w:val="666666"/>
          <w:kern w:val="0"/>
          <w:sz w:val="20"/>
          <w:szCs w:val="20"/>
        </w:rPr>
      </w:pPr>
      <w:r w:rsidRPr="00780C66">
        <w:rPr>
          <w:rFonts w:ascii="Verdana" w:hAnsi="Verdana" w:cs="新細明體"/>
          <w:color w:val="666666"/>
          <w:kern w:val="0"/>
          <w:sz w:val="20"/>
          <w:szCs w:val="20"/>
        </w:rPr>
        <w:t>在工作年齡人口的受訪者中</w:t>
      </w:r>
      <w:r w:rsidRPr="00780C66">
        <w:rPr>
          <w:rFonts w:ascii="Verdana" w:hAnsi="Verdana" w:cs="新細明體"/>
          <w:color w:val="666666"/>
          <w:kern w:val="0"/>
          <w:sz w:val="20"/>
          <w:szCs w:val="20"/>
        </w:rPr>
        <w:t xml:space="preserve"> (</w:t>
      </w:r>
      <w:r w:rsidRPr="00780C66">
        <w:rPr>
          <w:rFonts w:ascii="Verdana" w:hAnsi="Verdana" w:cs="新細明體"/>
          <w:color w:val="666666"/>
          <w:kern w:val="0"/>
          <w:sz w:val="20"/>
          <w:szCs w:val="20"/>
        </w:rPr>
        <w:t>即全職、兼職和失業，不包括退休人士</w:t>
      </w:r>
      <w:r w:rsidRPr="00780C66">
        <w:rPr>
          <w:rFonts w:ascii="Verdana" w:hAnsi="Verdana" w:cs="新細明體"/>
          <w:color w:val="666666"/>
          <w:kern w:val="0"/>
          <w:sz w:val="20"/>
          <w:szCs w:val="20"/>
        </w:rPr>
        <w:t>)</w:t>
      </w:r>
      <w:r w:rsidRPr="00780C66">
        <w:rPr>
          <w:rFonts w:ascii="Verdana" w:hAnsi="Verdana" w:cs="新細明體"/>
          <w:color w:val="666666"/>
          <w:kern w:val="0"/>
          <w:sz w:val="20"/>
          <w:szCs w:val="20"/>
        </w:rPr>
        <w:t>，失業率為</w:t>
      </w:r>
      <w:r w:rsidRPr="00780C66">
        <w:rPr>
          <w:rFonts w:ascii="Verdana" w:hAnsi="Verdana" w:cs="新細明體"/>
          <w:color w:val="666666"/>
          <w:kern w:val="0"/>
          <w:sz w:val="20"/>
          <w:szCs w:val="20"/>
        </w:rPr>
        <w:t>51.5%1</w:t>
      </w:r>
      <w:r w:rsidRPr="00780C66">
        <w:rPr>
          <w:rFonts w:ascii="Verdana" w:hAnsi="Verdana" w:cs="新細明體"/>
          <w:color w:val="666666"/>
          <w:kern w:val="0"/>
          <w:sz w:val="20"/>
          <w:szCs w:val="20"/>
        </w:rPr>
        <w:t>。患有只有一種殘疾或長期病患的失業率為</w:t>
      </w:r>
      <w:r w:rsidRPr="00780C66">
        <w:rPr>
          <w:rFonts w:ascii="Verdana" w:hAnsi="Verdana" w:cs="新細明體"/>
          <w:color w:val="666666"/>
          <w:kern w:val="0"/>
          <w:sz w:val="20"/>
          <w:szCs w:val="20"/>
        </w:rPr>
        <w:t>45%</w:t>
      </w:r>
      <w:r w:rsidRPr="00780C66">
        <w:rPr>
          <w:rFonts w:ascii="Verdana" w:hAnsi="Verdana" w:cs="新細明體"/>
          <w:color w:val="666666"/>
          <w:kern w:val="0"/>
          <w:sz w:val="20"/>
          <w:szCs w:val="20"/>
        </w:rPr>
        <w:t>，而患有多於一種殘疾或長期病的失業率為</w:t>
      </w:r>
      <w:r w:rsidRPr="00780C66">
        <w:rPr>
          <w:rFonts w:ascii="Verdana" w:hAnsi="Verdana" w:cs="新細明體"/>
          <w:color w:val="666666"/>
          <w:kern w:val="0"/>
          <w:sz w:val="20"/>
          <w:szCs w:val="20"/>
        </w:rPr>
        <w:t>64.5%</w:t>
      </w:r>
      <w:r w:rsidRPr="00780C66">
        <w:rPr>
          <w:rFonts w:ascii="Verdana" w:hAnsi="Verdana" w:cs="新細明體"/>
          <w:color w:val="666666"/>
          <w:kern w:val="0"/>
          <w:sz w:val="20"/>
          <w:szCs w:val="20"/>
        </w:rPr>
        <w:t>。以</w:t>
      </w:r>
      <w:proofErr w:type="gramStart"/>
      <w:r w:rsidRPr="00780C66">
        <w:rPr>
          <w:rFonts w:ascii="Verdana" w:hAnsi="Verdana" w:cs="新細明體"/>
          <w:color w:val="666666"/>
          <w:kern w:val="0"/>
          <w:sz w:val="20"/>
          <w:szCs w:val="20"/>
        </w:rPr>
        <w:t>個別病科分類</w:t>
      </w:r>
      <w:proofErr w:type="gramEnd"/>
      <w:r w:rsidRPr="00780C66">
        <w:rPr>
          <w:rFonts w:ascii="Verdana" w:hAnsi="Verdana" w:cs="新細明體"/>
          <w:color w:val="666666"/>
          <w:kern w:val="0"/>
          <w:sz w:val="20"/>
          <w:szCs w:val="20"/>
        </w:rPr>
        <w:t>，中風患者的失業率和腎病分別高達</w:t>
      </w:r>
      <w:r w:rsidRPr="00780C66">
        <w:rPr>
          <w:rFonts w:ascii="Verdana" w:hAnsi="Verdana" w:cs="新細明體"/>
          <w:color w:val="666666"/>
          <w:kern w:val="0"/>
          <w:sz w:val="20"/>
          <w:szCs w:val="20"/>
        </w:rPr>
        <w:t>92.3%</w:t>
      </w:r>
      <w:r w:rsidRPr="00780C66">
        <w:rPr>
          <w:rFonts w:ascii="Verdana" w:hAnsi="Verdana" w:cs="新細明體"/>
          <w:color w:val="666666"/>
          <w:kern w:val="0"/>
          <w:sz w:val="20"/>
          <w:szCs w:val="20"/>
        </w:rPr>
        <w:t>和</w:t>
      </w:r>
      <w:r w:rsidRPr="00780C66">
        <w:rPr>
          <w:rFonts w:ascii="Verdana" w:hAnsi="Verdana" w:cs="新細明體"/>
          <w:color w:val="666666"/>
          <w:kern w:val="0"/>
          <w:sz w:val="20"/>
          <w:szCs w:val="20"/>
        </w:rPr>
        <w:t>72.3%</w:t>
      </w:r>
      <w:r w:rsidRPr="00780C66">
        <w:rPr>
          <w:rFonts w:ascii="Verdana" w:hAnsi="Verdana" w:cs="新細明體"/>
          <w:color w:val="666666"/>
          <w:kern w:val="0"/>
          <w:sz w:val="20"/>
          <w:szCs w:val="20"/>
        </w:rPr>
        <w:t>。</w:t>
      </w:r>
    </w:p>
    <w:p w:rsidR="00780C66" w:rsidRPr="00780C66" w:rsidRDefault="00780C66" w:rsidP="00780C66">
      <w:pPr>
        <w:widowControl/>
        <w:shd w:val="clear" w:color="auto" w:fill="FFFFFF"/>
        <w:spacing w:line="336" w:lineRule="atLeast"/>
        <w:textAlignment w:val="baseline"/>
        <w:rPr>
          <w:rFonts w:ascii="Verdana" w:hAnsi="Verdana" w:cs="新細明體"/>
          <w:color w:val="666666"/>
          <w:kern w:val="0"/>
          <w:sz w:val="20"/>
          <w:szCs w:val="20"/>
        </w:rPr>
      </w:pPr>
      <w:r w:rsidRPr="00780C66">
        <w:rPr>
          <w:rFonts w:ascii="Verdana" w:hAnsi="Verdana" w:cs="新細明體"/>
          <w:color w:val="666666"/>
          <w:kern w:val="0"/>
          <w:sz w:val="20"/>
          <w:szCs w:val="20"/>
        </w:rPr>
        <w:t>在職受訪者的收入方面，他們的每月收入中位數為</w:t>
      </w:r>
      <w:r w:rsidRPr="00780C66">
        <w:rPr>
          <w:rFonts w:ascii="inherit" w:hAnsi="inherit" w:cs="新細明體"/>
          <w:color w:val="666666"/>
          <w:kern w:val="0"/>
          <w:sz w:val="20"/>
          <w:szCs w:val="20"/>
          <w:bdr w:val="none" w:sz="0" w:space="0" w:color="auto" w:frame="1"/>
        </w:rPr>
        <w:t>7,900</w:t>
      </w:r>
      <w:r w:rsidRPr="00780C66">
        <w:rPr>
          <w:rFonts w:ascii="Verdana" w:hAnsi="Verdana" w:cs="新細明體"/>
          <w:color w:val="666666"/>
          <w:kern w:val="0"/>
          <w:sz w:val="20"/>
          <w:szCs w:val="20"/>
        </w:rPr>
        <w:t>元</w:t>
      </w:r>
      <w:r w:rsidRPr="00780C66">
        <w:rPr>
          <w:rFonts w:ascii="Verdana" w:hAnsi="Verdana" w:cs="新細明體"/>
          <w:color w:val="666666"/>
          <w:kern w:val="0"/>
          <w:sz w:val="20"/>
          <w:szCs w:val="20"/>
        </w:rPr>
        <w:t>2</w:t>
      </w:r>
      <w:r w:rsidRPr="00780C66">
        <w:rPr>
          <w:rFonts w:ascii="Verdana" w:hAnsi="Verdana" w:cs="新細明體"/>
          <w:color w:val="666666"/>
          <w:kern w:val="0"/>
          <w:sz w:val="20"/>
          <w:szCs w:val="20"/>
        </w:rPr>
        <w:t>。受訪者的每月收入遠低於本港個人入息中位數</w:t>
      </w:r>
      <w:r w:rsidRPr="00780C66">
        <w:rPr>
          <w:rFonts w:ascii="inherit" w:hAnsi="inherit" w:cs="新細明體"/>
          <w:color w:val="666666"/>
          <w:kern w:val="0"/>
          <w:sz w:val="20"/>
          <w:szCs w:val="20"/>
          <w:bdr w:val="none" w:sz="0" w:space="0" w:color="auto" w:frame="1"/>
        </w:rPr>
        <w:t>(2013</w:t>
      </w:r>
      <w:r w:rsidRPr="00780C66">
        <w:rPr>
          <w:rFonts w:ascii="Verdana" w:hAnsi="Verdana" w:cs="新細明體"/>
          <w:color w:val="666666"/>
          <w:kern w:val="0"/>
          <w:sz w:val="20"/>
          <w:szCs w:val="20"/>
        </w:rPr>
        <w:t>年第一季度的個人入息中位數為</w:t>
      </w:r>
      <w:r w:rsidRPr="00780C66">
        <w:rPr>
          <w:rFonts w:ascii="inherit" w:hAnsi="inherit" w:cs="新細明體"/>
          <w:color w:val="666666"/>
          <w:kern w:val="0"/>
          <w:sz w:val="20"/>
          <w:szCs w:val="20"/>
          <w:bdr w:val="none" w:sz="0" w:space="0" w:color="auto" w:frame="1"/>
        </w:rPr>
        <w:t>12,000</w:t>
      </w:r>
      <w:r w:rsidRPr="00780C66">
        <w:rPr>
          <w:rFonts w:ascii="Verdana" w:hAnsi="Verdana" w:cs="新細明體"/>
          <w:color w:val="666666"/>
          <w:kern w:val="0"/>
          <w:sz w:val="20"/>
          <w:szCs w:val="20"/>
        </w:rPr>
        <w:t>元</w:t>
      </w:r>
      <w:r w:rsidRPr="00780C66">
        <w:rPr>
          <w:rFonts w:ascii="inherit" w:hAnsi="inherit" w:cs="新細明體"/>
          <w:color w:val="666666"/>
          <w:kern w:val="0"/>
          <w:sz w:val="20"/>
          <w:szCs w:val="20"/>
          <w:bdr w:val="none" w:sz="0" w:space="0" w:color="auto" w:frame="1"/>
        </w:rPr>
        <w:t>)</w:t>
      </w:r>
      <w:r w:rsidRPr="00780C66">
        <w:rPr>
          <w:rFonts w:ascii="Verdana" w:hAnsi="Verdana" w:cs="新細明體"/>
          <w:color w:val="666666"/>
          <w:kern w:val="0"/>
          <w:sz w:val="20"/>
          <w:szCs w:val="20"/>
        </w:rPr>
        <w:t>。殘疾類別中，患有智障和特殊學習困難、注意力不足、過度</w:t>
      </w:r>
      <w:proofErr w:type="gramStart"/>
      <w:r w:rsidRPr="00780C66">
        <w:rPr>
          <w:rFonts w:ascii="Verdana" w:hAnsi="Verdana" w:cs="新細明體"/>
          <w:color w:val="666666"/>
          <w:kern w:val="0"/>
          <w:sz w:val="20"/>
          <w:szCs w:val="20"/>
        </w:rPr>
        <w:t>活躍症</w:t>
      </w:r>
      <w:proofErr w:type="gramEnd"/>
      <w:r w:rsidRPr="00780C66">
        <w:rPr>
          <w:rFonts w:ascii="Verdana" w:hAnsi="Verdana" w:cs="新細明體"/>
          <w:color w:val="666666"/>
          <w:kern w:val="0"/>
          <w:sz w:val="20"/>
          <w:szCs w:val="20"/>
        </w:rPr>
        <w:t>或自閉症的受訪者每月就業收入中位數更只有</w:t>
      </w:r>
      <w:r w:rsidRPr="00780C66">
        <w:rPr>
          <w:rFonts w:ascii="inherit" w:hAnsi="inherit" w:cs="新細明體"/>
          <w:color w:val="666666"/>
          <w:kern w:val="0"/>
          <w:sz w:val="20"/>
          <w:szCs w:val="20"/>
          <w:bdr w:val="none" w:sz="0" w:space="0" w:color="auto" w:frame="1"/>
        </w:rPr>
        <w:t>600</w:t>
      </w:r>
      <w:r w:rsidRPr="00780C66">
        <w:rPr>
          <w:rFonts w:ascii="Verdana" w:hAnsi="Verdana" w:cs="新細明體"/>
          <w:color w:val="666666"/>
          <w:kern w:val="0"/>
          <w:sz w:val="20"/>
          <w:szCs w:val="20"/>
        </w:rPr>
        <w:t>元和</w:t>
      </w:r>
      <w:r w:rsidRPr="00780C66">
        <w:rPr>
          <w:rFonts w:ascii="inherit" w:hAnsi="inherit" w:cs="新細明體"/>
          <w:color w:val="666666"/>
          <w:kern w:val="0"/>
          <w:sz w:val="20"/>
          <w:szCs w:val="20"/>
          <w:bdr w:val="none" w:sz="0" w:space="0" w:color="auto" w:frame="1"/>
        </w:rPr>
        <w:t>800</w:t>
      </w:r>
      <w:r w:rsidRPr="00780C66">
        <w:rPr>
          <w:rFonts w:ascii="Verdana" w:hAnsi="Verdana" w:cs="新細明體"/>
          <w:color w:val="666666"/>
          <w:kern w:val="0"/>
          <w:sz w:val="20"/>
          <w:szCs w:val="20"/>
        </w:rPr>
        <w:t>元。整體受訪者的每月家庭收入的中位數僅為</w:t>
      </w:r>
      <w:r w:rsidRPr="00780C66">
        <w:rPr>
          <w:rFonts w:ascii="inherit" w:hAnsi="inherit" w:cs="新細明體"/>
          <w:color w:val="666666"/>
          <w:kern w:val="0"/>
          <w:sz w:val="20"/>
          <w:szCs w:val="20"/>
          <w:bdr w:val="none" w:sz="0" w:space="0" w:color="auto" w:frame="1"/>
        </w:rPr>
        <w:t>11,000</w:t>
      </w:r>
      <w:r w:rsidRPr="00780C66">
        <w:rPr>
          <w:rFonts w:ascii="Verdana" w:hAnsi="Verdana" w:cs="新細明體"/>
          <w:color w:val="666666"/>
          <w:kern w:val="0"/>
          <w:sz w:val="20"/>
          <w:szCs w:val="20"/>
        </w:rPr>
        <w:t>元。扶貧委員會以住戶入息中位數一半訂立貧窮線，而香港</w:t>
      </w:r>
      <w:r w:rsidRPr="00780C66">
        <w:rPr>
          <w:rFonts w:ascii="inherit" w:hAnsi="inherit" w:cs="新細明體"/>
          <w:color w:val="666666"/>
          <w:kern w:val="0"/>
          <w:sz w:val="20"/>
          <w:szCs w:val="20"/>
          <w:bdr w:val="none" w:sz="0" w:space="0" w:color="auto" w:frame="1"/>
        </w:rPr>
        <w:t>2013</w:t>
      </w:r>
      <w:r w:rsidRPr="00780C66">
        <w:rPr>
          <w:rFonts w:ascii="Verdana" w:hAnsi="Verdana" w:cs="新細明體"/>
          <w:color w:val="666666"/>
          <w:kern w:val="0"/>
          <w:sz w:val="20"/>
          <w:szCs w:val="20"/>
        </w:rPr>
        <w:t>年第一季度的家庭住戶每月入息中位數為</w:t>
      </w:r>
      <w:r w:rsidRPr="00780C66">
        <w:rPr>
          <w:rFonts w:ascii="inherit" w:hAnsi="inherit" w:cs="新細明體"/>
          <w:color w:val="666666"/>
          <w:kern w:val="0"/>
          <w:sz w:val="20"/>
          <w:szCs w:val="20"/>
          <w:bdr w:val="none" w:sz="0" w:space="0" w:color="auto" w:frame="1"/>
        </w:rPr>
        <w:t>22,000</w:t>
      </w:r>
      <w:r w:rsidRPr="00780C66">
        <w:rPr>
          <w:rFonts w:ascii="Verdana" w:hAnsi="Verdana" w:cs="新細明體"/>
          <w:color w:val="666666"/>
          <w:kern w:val="0"/>
          <w:sz w:val="20"/>
          <w:szCs w:val="20"/>
        </w:rPr>
        <w:t>元，貧窮線則為</w:t>
      </w:r>
      <w:r w:rsidRPr="00780C66">
        <w:rPr>
          <w:rFonts w:ascii="inherit" w:hAnsi="inherit" w:cs="新細明體"/>
          <w:color w:val="666666"/>
          <w:kern w:val="0"/>
          <w:sz w:val="20"/>
          <w:szCs w:val="20"/>
          <w:bdr w:val="none" w:sz="0" w:space="0" w:color="auto" w:frame="1"/>
        </w:rPr>
        <w:t>11,000</w:t>
      </w:r>
      <w:r w:rsidRPr="00780C66">
        <w:rPr>
          <w:rFonts w:ascii="Verdana" w:hAnsi="Verdana" w:cs="新細明體"/>
          <w:color w:val="666666"/>
          <w:kern w:val="0"/>
          <w:sz w:val="20"/>
          <w:szCs w:val="20"/>
        </w:rPr>
        <w:t>元。那麼，有約一半的受訪的殘疾人士和長期病患者的家庭正處於貧窮線以下的貧窮家庭。</w:t>
      </w:r>
    </w:p>
    <w:p w:rsidR="00780C66" w:rsidRPr="00780C66" w:rsidRDefault="00780C66" w:rsidP="00780C66">
      <w:pPr>
        <w:widowControl/>
        <w:shd w:val="clear" w:color="auto" w:fill="FFFFFF"/>
        <w:spacing w:before="204" w:after="204" w:line="336" w:lineRule="atLeast"/>
        <w:textAlignment w:val="baseline"/>
        <w:rPr>
          <w:rFonts w:ascii="Verdana" w:hAnsi="Verdana" w:cs="新細明體"/>
          <w:color w:val="666666"/>
          <w:kern w:val="0"/>
          <w:sz w:val="20"/>
          <w:szCs w:val="20"/>
        </w:rPr>
      </w:pPr>
      <w:r w:rsidRPr="00780C66">
        <w:rPr>
          <w:rFonts w:ascii="Verdana" w:hAnsi="Verdana" w:cs="新細明體"/>
          <w:color w:val="666666"/>
          <w:kern w:val="0"/>
          <w:sz w:val="20"/>
          <w:szCs w:val="20"/>
        </w:rPr>
        <w:t>由此可見，殘疾人士和長期病患者的失業高，而在職者的收入偏低，而他們的家庭收入亦低於香港其他家庭。</w:t>
      </w:r>
    </w:p>
    <w:p w:rsidR="00780C66" w:rsidRPr="00780C66" w:rsidRDefault="00780C66" w:rsidP="00780C66">
      <w:pPr>
        <w:widowControl/>
        <w:numPr>
          <w:ilvl w:val="0"/>
          <w:numId w:val="3"/>
        </w:numPr>
        <w:shd w:val="clear" w:color="auto" w:fill="FFFFFF"/>
        <w:spacing w:line="336" w:lineRule="atLeast"/>
        <w:ind w:left="444" w:firstLine="0"/>
        <w:textAlignment w:val="baseline"/>
        <w:rPr>
          <w:rFonts w:ascii="inherit" w:hAnsi="inherit" w:cs="新細明體"/>
          <w:color w:val="666666"/>
          <w:kern w:val="0"/>
          <w:sz w:val="20"/>
          <w:szCs w:val="20"/>
        </w:rPr>
      </w:pPr>
      <w:r w:rsidRPr="00780C66">
        <w:rPr>
          <w:rFonts w:ascii="inherit" w:hAnsi="inherit" w:cs="新細明體"/>
          <w:color w:val="666666"/>
          <w:kern w:val="0"/>
          <w:sz w:val="20"/>
          <w:szCs w:val="20"/>
        </w:rPr>
        <w:t>殘疾人士和長期病患者的日常健康相關開支</w:t>
      </w:r>
    </w:p>
    <w:p w:rsidR="00780C66" w:rsidRPr="00780C66" w:rsidRDefault="00780C66" w:rsidP="00780C66">
      <w:pPr>
        <w:widowControl/>
        <w:shd w:val="clear" w:color="auto" w:fill="FFFFFF"/>
        <w:spacing w:line="336" w:lineRule="atLeast"/>
        <w:textAlignment w:val="baseline"/>
        <w:rPr>
          <w:rFonts w:ascii="Verdana" w:hAnsi="Verdana" w:cs="新細明體"/>
          <w:color w:val="666666"/>
          <w:kern w:val="0"/>
          <w:sz w:val="20"/>
          <w:szCs w:val="20"/>
        </w:rPr>
      </w:pPr>
      <w:r w:rsidRPr="00780C66">
        <w:rPr>
          <w:rFonts w:ascii="Verdana" w:hAnsi="Verdana" w:cs="新細明體"/>
          <w:color w:val="666666"/>
          <w:kern w:val="0"/>
          <w:sz w:val="20"/>
          <w:szCs w:val="20"/>
        </w:rPr>
        <w:lastRenderedPageBreak/>
        <w:t>殘疾人士和長期病患者的日常健康開支大致可分為經常性和非經常性兩種。經常性開支方面，最常見的三項支出分別為醫療支出</w:t>
      </w:r>
      <w:r w:rsidRPr="00780C66">
        <w:rPr>
          <w:rFonts w:ascii="inherit" w:hAnsi="inherit" w:cs="新細明體"/>
          <w:color w:val="666666"/>
          <w:kern w:val="0"/>
          <w:sz w:val="20"/>
          <w:szCs w:val="20"/>
          <w:bdr w:val="none" w:sz="0" w:space="0" w:color="auto" w:frame="1"/>
        </w:rPr>
        <w:t>(86.7%)</w:t>
      </w:r>
      <w:r w:rsidRPr="00780C66">
        <w:rPr>
          <w:rFonts w:ascii="Verdana" w:hAnsi="Verdana" w:cs="新細明體"/>
          <w:color w:val="666666"/>
          <w:kern w:val="0"/>
          <w:sz w:val="20"/>
          <w:szCs w:val="20"/>
        </w:rPr>
        <w:t>、交通費</w:t>
      </w:r>
      <w:r w:rsidRPr="00780C66">
        <w:rPr>
          <w:rFonts w:ascii="inherit" w:hAnsi="inherit" w:cs="新細明體"/>
          <w:color w:val="666666"/>
          <w:kern w:val="0"/>
          <w:sz w:val="20"/>
          <w:szCs w:val="20"/>
          <w:bdr w:val="none" w:sz="0" w:space="0" w:color="auto" w:frame="1"/>
        </w:rPr>
        <w:t>(72.6%)</w:t>
      </w:r>
      <w:r w:rsidRPr="00780C66">
        <w:rPr>
          <w:rFonts w:ascii="Verdana" w:hAnsi="Verdana" w:cs="新細明體"/>
          <w:color w:val="666666"/>
          <w:kern w:val="0"/>
          <w:sz w:val="20"/>
          <w:szCs w:val="20"/>
        </w:rPr>
        <w:t>、購買復康用品或食品</w:t>
      </w:r>
      <w:r w:rsidRPr="00780C66">
        <w:rPr>
          <w:rFonts w:ascii="inherit" w:hAnsi="inherit" w:cs="新細明體"/>
          <w:color w:val="666666"/>
          <w:kern w:val="0"/>
          <w:sz w:val="20"/>
          <w:szCs w:val="20"/>
          <w:bdr w:val="none" w:sz="0" w:space="0" w:color="auto" w:frame="1"/>
        </w:rPr>
        <w:t>(50.6%)</w:t>
      </w:r>
      <w:r w:rsidRPr="00780C66">
        <w:rPr>
          <w:rFonts w:ascii="Verdana" w:hAnsi="Verdana" w:cs="新細明體"/>
          <w:color w:val="666666"/>
          <w:kern w:val="0"/>
          <w:sz w:val="20"/>
          <w:szCs w:val="20"/>
        </w:rPr>
        <w:t>。</w:t>
      </w:r>
      <w:proofErr w:type="gramStart"/>
      <w:r w:rsidRPr="00780C66">
        <w:rPr>
          <w:rFonts w:ascii="Verdana" w:hAnsi="Verdana" w:cs="新細明體"/>
          <w:color w:val="666666"/>
          <w:kern w:val="0"/>
          <w:sz w:val="20"/>
          <w:szCs w:val="20"/>
        </w:rPr>
        <w:t>此外，</w:t>
      </w:r>
      <w:proofErr w:type="gramEnd"/>
      <w:r w:rsidRPr="00780C66">
        <w:rPr>
          <w:rFonts w:ascii="Verdana" w:hAnsi="Verdana" w:cs="新細明體"/>
          <w:color w:val="666666"/>
          <w:kern w:val="0"/>
          <w:sz w:val="20"/>
          <w:szCs w:val="20"/>
        </w:rPr>
        <w:t>有近四份</w:t>
      </w:r>
      <w:proofErr w:type="gramStart"/>
      <w:r w:rsidRPr="00780C66">
        <w:rPr>
          <w:rFonts w:ascii="Verdana" w:hAnsi="Verdana" w:cs="新細明體"/>
          <w:color w:val="666666"/>
          <w:kern w:val="0"/>
          <w:sz w:val="20"/>
          <w:szCs w:val="20"/>
        </w:rPr>
        <w:t>一</w:t>
      </w:r>
      <w:proofErr w:type="gramEnd"/>
      <w:r w:rsidRPr="00780C66">
        <w:rPr>
          <w:rFonts w:ascii="Verdana" w:hAnsi="Verdana" w:cs="新細明體"/>
          <w:color w:val="666666"/>
          <w:kern w:val="0"/>
          <w:sz w:val="20"/>
          <w:szCs w:val="20"/>
        </w:rPr>
        <w:t>受訪者</w:t>
      </w:r>
      <w:r w:rsidRPr="00780C66">
        <w:rPr>
          <w:rFonts w:ascii="inherit" w:hAnsi="inherit" w:cs="新細明體"/>
          <w:color w:val="666666"/>
          <w:kern w:val="0"/>
          <w:sz w:val="20"/>
          <w:szCs w:val="20"/>
          <w:bdr w:val="none" w:sz="0" w:space="0" w:color="auto" w:frame="1"/>
        </w:rPr>
        <w:t>(25.5%)</w:t>
      </w:r>
      <w:r w:rsidRPr="00780C66">
        <w:rPr>
          <w:rFonts w:ascii="Verdana" w:hAnsi="Verdana" w:cs="新細明體"/>
          <w:color w:val="666666"/>
          <w:kern w:val="0"/>
          <w:sz w:val="20"/>
          <w:szCs w:val="20"/>
        </w:rPr>
        <w:t>支付中醫服務。</w:t>
      </w:r>
    </w:p>
    <w:p w:rsidR="00780C66" w:rsidRPr="00780C66" w:rsidRDefault="00780C66" w:rsidP="00780C66">
      <w:pPr>
        <w:widowControl/>
        <w:shd w:val="clear" w:color="auto" w:fill="FFFFFF"/>
        <w:spacing w:line="336" w:lineRule="atLeast"/>
        <w:textAlignment w:val="baseline"/>
        <w:rPr>
          <w:rFonts w:ascii="Verdana" w:hAnsi="Verdana" w:cs="新細明體"/>
          <w:color w:val="666666"/>
          <w:kern w:val="0"/>
          <w:sz w:val="20"/>
          <w:szCs w:val="20"/>
        </w:rPr>
      </w:pPr>
      <w:r w:rsidRPr="00780C66">
        <w:rPr>
          <w:rFonts w:ascii="Verdana" w:hAnsi="Verdana" w:cs="新細明體"/>
          <w:color w:val="666666"/>
          <w:kern w:val="0"/>
          <w:sz w:val="20"/>
          <w:szCs w:val="20"/>
        </w:rPr>
        <w:t>至於支出金額方面，受訪者的平均每月經常性支出為</w:t>
      </w:r>
      <w:r w:rsidRPr="00780C66">
        <w:rPr>
          <w:rFonts w:ascii="inherit" w:hAnsi="inherit" w:cs="新細明體"/>
          <w:color w:val="666666"/>
          <w:kern w:val="0"/>
          <w:sz w:val="20"/>
          <w:szCs w:val="20"/>
          <w:bdr w:val="none" w:sz="0" w:space="0" w:color="auto" w:frame="1"/>
        </w:rPr>
        <w:t>2,000</w:t>
      </w:r>
      <w:r w:rsidRPr="00780C66">
        <w:rPr>
          <w:rFonts w:ascii="Verdana" w:hAnsi="Verdana" w:cs="新細明體"/>
          <w:color w:val="666666"/>
          <w:kern w:val="0"/>
          <w:sz w:val="20"/>
          <w:szCs w:val="20"/>
        </w:rPr>
        <w:t>元。在殘疾類別中，肢體傷殘和</w:t>
      </w:r>
      <w:proofErr w:type="gramStart"/>
      <w:r w:rsidRPr="00780C66">
        <w:rPr>
          <w:rFonts w:ascii="Verdana" w:hAnsi="Verdana" w:cs="新細明體"/>
          <w:color w:val="666666"/>
          <w:kern w:val="0"/>
          <w:sz w:val="20"/>
          <w:szCs w:val="20"/>
        </w:rPr>
        <w:t>聽障受訪</w:t>
      </w:r>
      <w:proofErr w:type="gramEnd"/>
      <w:r w:rsidRPr="00780C66">
        <w:rPr>
          <w:rFonts w:ascii="Verdana" w:hAnsi="Verdana" w:cs="新細明體"/>
          <w:color w:val="666666"/>
          <w:kern w:val="0"/>
          <w:sz w:val="20"/>
          <w:szCs w:val="20"/>
        </w:rPr>
        <w:t>者的支出金額較高，分別為每月</w:t>
      </w:r>
      <w:r w:rsidRPr="00780C66">
        <w:rPr>
          <w:rFonts w:ascii="inherit" w:hAnsi="inherit" w:cs="新細明體"/>
          <w:color w:val="666666"/>
          <w:kern w:val="0"/>
          <w:sz w:val="20"/>
          <w:szCs w:val="20"/>
          <w:bdr w:val="none" w:sz="0" w:space="0" w:color="auto" w:frame="1"/>
        </w:rPr>
        <w:t>2,800</w:t>
      </w:r>
      <w:r w:rsidRPr="00780C66">
        <w:rPr>
          <w:rFonts w:ascii="Verdana" w:hAnsi="Verdana" w:cs="新細明體"/>
          <w:color w:val="666666"/>
          <w:kern w:val="0"/>
          <w:sz w:val="20"/>
          <w:szCs w:val="20"/>
        </w:rPr>
        <w:t>元和</w:t>
      </w:r>
      <w:r w:rsidRPr="00780C66">
        <w:rPr>
          <w:rFonts w:ascii="inherit" w:hAnsi="inherit" w:cs="新細明體"/>
          <w:color w:val="666666"/>
          <w:kern w:val="0"/>
          <w:sz w:val="20"/>
          <w:szCs w:val="20"/>
          <w:bdr w:val="none" w:sz="0" w:space="0" w:color="auto" w:frame="1"/>
        </w:rPr>
        <w:t>2,700</w:t>
      </w:r>
      <w:r w:rsidRPr="00780C66">
        <w:rPr>
          <w:rFonts w:ascii="Verdana" w:hAnsi="Verdana" w:cs="新細明體"/>
          <w:color w:val="666666"/>
          <w:kern w:val="0"/>
          <w:sz w:val="20"/>
          <w:szCs w:val="20"/>
        </w:rPr>
        <w:t>元。在長期病患類別中，類風濕性關節炎、柏金遜症和腎病受訪者的支出金額較高，分別為每月</w:t>
      </w:r>
      <w:r w:rsidRPr="00780C66">
        <w:rPr>
          <w:rFonts w:ascii="inherit" w:hAnsi="inherit" w:cs="新細明體"/>
          <w:color w:val="666666"/>
          <w:kern w:val="0"/>
          <w:sz w:val="20"/>
          <w:szCs w:val="20"/>
          <w:bdr w:val="none" w:sz="0" w:space="0" w:color="auto" w:frame="1"/>
        </w:rPr>
        <w:t>2,600</w:t>
      </w:r>
      <w:r w:rsidRPr="00780C66">
        <w:rPr>
          <w:rFonts w:ascii="Verdana" w:hAnsi="Verdana" w:cs="新細明體"/>
          <w:color w:val="666666"/>
          <w:kern w:val="0"/>
          <w:sz w:val="20"/>
          <w:szCs w:val="20"/>
        </w:rPr>
        <w:t>元、</w:t>
      </w:r>
      <w:r w:rsidRPr="00780C66">
        <w:rPr>
          <w:rFonts w:ascii="inherit" w:hAnsi="inherit" w:cs="新細明體"/>
          <w:color w:val="666666"/>
          <w:kern w:val="0"/>
          <w:sz w:val="20"/>
          <w:szCs w:val="20"/>
          <w:bdr w:val="none" w:sz="0" w:space="0" w:color="auto" w:frame="1"/>
        </w:rPr>
        <w:t>2,500</w:t>
      </w:r>
      <w:r w:rsidRPr="00780C66">
        <w:rPr>
          <w:rFonts w:ascii="Verdana" w:hAnsi="Verdana" w:cs="新細明體"/>
          <w:color w:val="666666"/>
          <w:kern w:val="0"/>
          <w:sz w:val="20"/>
          <w:szCs w:val="20"/>
        </w:rPr>
        <w:t>元和</w:t>
      </w:r>
      <w:r w:rsidRPr="00780C66">
        <w:rPr>
          <w:rFonts w:ascii="inherit" w:hAnsi="inherit" w:cs="新細明體"/>
          <w:color w:val="666666"/>
          <w:kern w:val="0"/>
          <w:sz w:val="20"/>
          <w:szCs w:val="20"/>
          <w:bdr w:val="none" w:sz="0" w:space="0" w:color="auto" w:frame="1"/>
        </w:rPr>
        <w:t>2,300</w:t>
      </w:r>
      <w:r w:rsidRPr="00780C66">
        <w:rPr>
          <w:rFonts w:ascii="Verdana" w:hAnsi="Verdana" w:cs="新細明體"/>
          <w:color w:val="666666"/>
          <w:kern w:val="0"/>
          <w:sz w:val="20"/>
          <w:szCs w:val="20"/>
        </w:rPr>
        <w:t>元。</w:t>
      </w:r>
    </w:p>
    <w:p w:rsidR="00780C66" w:rsidRPr="00780C66" w:rsidRDefault="00780C66" w:rsidP="00780C66">
      <w:pPr>
        <w:widowControl/>
        <w:shd w:val="clear" w:color="auto" w:fill="FFFFFF"/>
        <w:spacing w:line="336" w:lineRule="atLeast"/>
        <w:textAlignment w:val="baseline"/>
        <w:rPr>
          <w:rFonts w:ascii="Verdana" w:hAnsi="Verdana" w:cs="新細明體"/>
          <w:color w:val="666666"/>
          <w:kern w:val="0"/>
          <w:sz w:val="20"/>
          <w:szCs w:val="20"/>
        </w:rPr>
      </w:pPr>
      <w:r w:rsidRPr="00780C66">
        <w:rPr>
          <w:rFonts w:ascii="Verdana" w:hAnsi="Verdana" w:cs="新細明體"/>
          <w:color w:val="666666"/>
          <w:kern w:val="0"/>
          <w:sz w:val="20"/>
          <w:szCs w:val="20"/>
        </w:rPr>
        <w:t>有關支出方面，醫療服務</w:t>
      </w:r>
      <w:r w:rsidRPr="00780C66">
        <w:rPr>
          <w:rFonts w:ascii="Verdana" w:hAnsi="Verdana" w:cs="新細明體"/>
          <w:color w:val="666666"/>
          <w:kern w:val="0"/>
          <w:sz w:val="20"/>
          <w:szCs w:val="20"/>
        </w:rPr>
        <w:t>3</w:t>
      </w:r>
      <w:r w:rsidRPr="00780C66">
        <w:rPr>
          <w:rFonts w:ascii="Verdana" w:hAnsi="Verdana" w:cs="新細明體"/>
          <w:color w:val="666666"/>
          <w:kern w:val="0"/>
          <w:sz w:val="20"/>
          <w:szCs w:val="20"/>
        </w:rPr>
        <w:t>和中醫服務的每月平均支出為</w:t>
      </w:r>
      <w:r w:rsidRPr="00780C66">
        <w:rPr>
          <w:rFonts w:ascii="inherit" w:hAnsi="inherit" w:cs="新細明體"/>
          <w:color w:val="666666"/>
          <w:kern w:val="0"/>
          <w:sz w:val="20"/>
          <w:szCs w:val="20"/>
          <w:bdr w:val="none" w:sz="0" w:space="0" w:color="auto" w:frame="1"/>
        </w:rPr>
        <w:t>800</w:t>
      </w:r>
      <w:r w:rsidRPr="00780C66">
        <w:rPr>
          <w:rFonts w:ascii="Verdana" w:hAnsi="Verdana" w:cs="新細明體"/>
          <w:color w:val="666666"/>
          <w:kern w:val="0"/>
          <w:sz w:val="20"/>
          <w:szCs w:val="20"/>
        </w:rPr>
        <w:t>元正，購買復康用品</w:t>
      </w:r>
      <w:r w:rsidRPr="00780C66">
        <w:rPr>
          <w:rFonts w:ascii="Verdana" w:hAnsi="Verdana" w:cs="新細明體"/>
          <w:color w:val="666666"/>
          <w:kern w:val="0"/>
          <w:sz w:val="20"/>
          <w:szCs w:val="20"/>
        </w:rPr>
        <w:t>4/</w:t>
      </w:r>
      <w:r w:rsidRPr="00780C66">
        <w:rPr>
          <w:rFonts w:ascii="Verdana" w:hAnsi="Verdana" w:cs="新細明體"/>
          <w:color w:val="666666"/>
          <w:kern w:val="0"/>
          <w:sz w:val="20"/>
          <w:szCs w:val="20"/>
        </w:rPr>
        <w:t>食品的每月平均支出為</w:t>
      </w:r>
      <w:r w:rsidRPr="00780C66">
        <w:rPr>
          <w:rFonts w:ascii="inherit" w:hAnsi="inherit" w:cs="新細明體"/>
          <w:color w:val="666666"/>
          <w:kern w:val="0"/>
          <w:sz w:val="20"/>
          <w:szCs w:val="20"/>
          <w:bdr w:val="none" w:sz="0" w:space="0" w:color="auto" w:frame="1"/>
        </w:rPr>
        <w:t>500</w:t>
      </w:r>
      <w:r w:rsidRPr="00780C66">
        <w:rPr>
          <w:rFonts w:ascii="inherit" w:hAnsi="inherit" w:cs="新細明體"/>
          <w:color w:val="666666"/>
          <w:kern w:val="0"/>
          <w:sz w:val="20"/>
        </w:rPr>
        <w:t> </w:t>
      </w:r>
      <w:r w:rsidRPr="00780C66">
        <w:rPr>
          <w:rFonts w:ascii="Verdana" w:hAnsi="Verdana" w:cs="新細明體"/>
          <w:color w:val="666666"/>
          <w:kern w:val="0"/>
          <w:sz w:val="20"/>
          <w:szCs w:val="20"/>
        </w:rPr>
        <w:t>元，而交通費</w:t>
      </w:r>
      <w:r w:rsidRPr="00780C66">
        <w:rPr>
          <w:rFonts w:ascii="Verdana" w:hAnsi="Verdana" w:cs="新細明體"/>
          <w:color w:val="666666"/>
          <w:kern w:val="0"/>
          <w:sz w:val="20"/>
          <w:szCs w:val="20"/>
        </w:rPr>
        <w:t>5</w:t>
      </w:r>
      <w:r w:rsidRPr="00780C66">
        <w:rPr>
          <w:rFonts w:ascii="Verdana" w:hAnsi="Verdana" w:cs="新細明體"/>
          <w:color w:val="666666"/>
          <w:kern w:val="0"/>
          <w:sz w:val="20"/>
          <w:szCs w:val="20"/>
        </w:rPr>
        <w:t>則約</w:t>
      </w:r>
      <w:r w:rsidRPr="00780C66">
        <w:rPr>
          <w:rFonts w:ascii="inherit" w:hAnsi="inherit" w:cs="新細明體"/>
          <w:color w:val="666666"/>
          <w:kern w:val="0"/>
          <w:sz w:val="20"/>
          <w:szCs w:val="20"/>
          <w:bdr w:val="none" w:sz="0" w:space="0" w:color="auto" w:frame="1"/>
        </w:rPr>
        <w:t>300</w:t>
      </w:r>
      <w:r w:rsidRPr="00780C66">
        <w:rPr>
          <w:rFonts w:ascii="Verdana" w:hAnsi="Verdana" w:cs="新細明體"/>
          <w:color w:val="666666"/>
          <w:kern w:val="0"/>
          <w:sz w:val="20"/>
          <w:szCs w:val="20"/>
        </w:rPr>
        <w:t>元。</w:t>
      </w:r>
      <w:r w:rsidRPr="00780C66">
        <w:rPr>
          <w:rFonts w:ascii="Verdana" w:hAnsi="Verdana" w:cs="新細明體"/>
          <w:color w:val="666666"/>
          <w:kern w:val="0"/>
          <w:sz w:val="20"/>
          <w:szCs w:val="20"/>
        </w:rPr>
        <w:t xml:space="preserve"> </w:t>
      </w:r>
      <w:proofErr w:type="gramStart"/>
      <w:r w:rsidRPr="00780C66">
        <w:rPr>
          <w:rFonts w:ascii="Verdana" w:hAnsi="Verdana" w:cs="新細明體"/>
          <w:color w:val="666666"/>
          <w:kern w:val="0"/>
          <w:sz w:val="20"/>
          <w:szCs w:val="20"/>
        </w:rPr>
        <w:t>此外，</w:t>
      </w:r>
      <w:proofErr w:type="gramEnd"/>
      <w:r w:rsidRPr="00780C66">
        <w:rPr>
          <w:rFonts w:ascii="Verdana" w:hAnsi="Verdana" w:cs="新細明體"/>
          <w:color w:val="666666"/>
          <w:kern w:val="0"/>
          <w:sz w:val="20"/>
          <w:szCs w:val="20"/>
        </w:rPr>
        <w:t>約一至兩成受訪者的健康開支包括參與復康活動</w:t>
      </w:r>
      <w:r w:rsidRPr="00780C66">
        <w:rPr>
          <w:rFonts w:ascii="inherit" w:hAnsi="inherit" w:cs="新細明體"/>
          <w:color w:val="666666"/>
          <w:kern w:val="0"/>
          <w:sz w:val="20"/>
          <w:szCs w:val="20"/>
          <w:bdr w:val="none" w:sz="0" w:space="0" w:color="auto" w:frame="1"/>
        </w:rPr>
        <w:t>(14.1%)</w:t>
      </w:r>
      <w:r w:rsidRPr="00780C66">
        <w:rPr>
          <w:rFonts w:ascii="Verdana" w:hAnsi="Verdana" w:cs="新細明體"/>
          <w:color w:val="666666"/>
          <w:kern w:val="0"/>
          <w:sz w:val="20"/>
          <w:szCs w:val="20"/>
        </w:rPr>
        <w:t>、聘請照顧服務</w:t>
      </w:r>
      <w:r w:rsidRPr="00780C66">
        <w:rPr>
          <w:rFonts w:ascii="inherit" w:hAnsi="inherit" w:cs="新細明體"/>
          <w:color w:val="666666"/>
          <w:kern w:val="0"/>
          <w:sz w:val="20"/>
          <w:szCs w:val="20"/>
          <w:bdr w:val="none" w:sz="0" w:space="0" w:color="auto" w:frame="1"/>
        </w:rPr>
        <w:t>(</w:t>
      </w:r>
      <w:r w:rsidRPr="00780C66">
        <w:rPr>
          <w:rFonts w:ascii="Verdana" w:hAnsi="Verdana" w:cs="新細明體"/>
          <w:color w:val="666666"/>
          <w:kern w:val="0"/>
          <w:sz w:val="20"/>
          <w:szCs w:val="20"/>
        </w:rPr>
        <w:t>如聘請外</w:t>
      </w:r>
      <w:proofErr w:type="gramStart"/>
      <w:r w:rsidRPr="00780C66">
        <w:rPr>
          <w:rFonts w:ascii="Verdana" w:hAnsi="Verdana" w:cs="新細明體"/>
          <w:color w:val="666666"/>
          <w:kern w:val="0"/>
          <w:sz w:val="20"/>
          <w:szCs w:val="20"/>
        </w:rPr>
        <w:t>傭</w:t>
      </w:r>
      <w:proofErr w:type="gramEnd"/>
      <w:r w:rsidRPr="00780C66">
        <w:rPr>
          <w:rFonts w:ascii="Verdana" w:hAnsi="Verdana" w:cs="新細明體"/>
          <w:color w:val="666666"/>
          <w:kern w:val="0"/>
          <w:sz w:val="20"/>
          <w:szCs w:val="20"/>
        </w:rPr>
        <w:t>、</w:t>
      </w:r>
      <w:proofErr w:type="gramStart"/>
      <w:r w:rsidRPr="00780C66">
        <w:rPr>
          <w:rFonts w:ascii="Verdana" w:hAnsi="Verdana" w:cs="新細明體"/>
          <w:color w:val="666666"/>
          <w:kern w:val="0"/>
          <w:sz w:val="20"/>
          <w:szCs w:val="20"/>
        </w:rPr>
        <w:t>陪診</w:t>
      </w:r>
      <w:proofErr w:type="gramEnd"/>
      <w:r w:rsidRPr="00780C66">
        <w:rPr>
          <w:rFonts w:ascii="Verdana" w:hAnsi="Verdana" w:cs="新細明體"/>
          <w:color w:val="666666"/>
          <w:kern w:val="0"/>
          <w:sz w:val="20"/>
          <w:szCs w:val="20"/>
        </w:rPr>
        <w:t>、送飯等</w:t>
      </w:r>
      <w:r w:rsidRPr="00780C66">
        <w:rPr>
          <w:rFonts w:ascii="inherit" w:hAnsi="inherit" w:cs="新細明體"/>
          <w:color w:val="666666"/>
          <w:kern w:val="0"/>
          <w:sz w:val="20"/>
          <w:szCs w:val="20"/>
          <w:bdr w:val="none" w:sz="0" w:space="0" w:color="auto" w:frame="1"/>
        </w:rPr>
        <w:t>)(14.6%)</w:t>
      </w:r>
      <w:r w:rsidRPr="00780C66">
        <w:rPr>
          <w:rFonts w:ascii="Verdana" w:hAnsi="Verdana" w:cs="新細明體"/>
          <w:color w:val="666666"/>
          <w:kern w:val="0"/>
          <w:sz w:val="20"/>
          <w:szCs w:val="20"/>
        </w:rPr>
        <w:t>和購買非處方藥物</w:t>
      </w:r>
      <w:r w:rsidRPr="00780C66">
        <w:rPr>
          <w:rFonts w:ascii="inherit" w:hAnsi="inherit" w:cs="新細明體"/>
          <w:color w:val="666666"/>
          <w:kern w:val="0"/>
          <w:sz w:val="20"/>
          <w:szCs w:val="20"/>
          <w:bdr w:val="none" w:sz="0" w:space="0" w:color="auto" w:frame="1"/>
        </w:rPr>
        <w:t>(19.9%)</w:t>
      </w:r>
      <w:r w:rsidRPr="00780C66">
        <w:rPr>
          <w:rFonts w:ascii="Verdana" w:hAnsi="Verdana" w:cs="新細明體"/>
          <w:color w:val="666666"/>
          <w:kern w:val="0"/>
          <w:sz w:val="20"/>
          <w:szCs w:val="20"/>
        </w:rPr>
        <w:t>，支出金額分別為</w:t>
      </w:r>
      <w:r w:rsidRPr="00780C66">
        <w:rPr>
          <w:rFonts w:ascii="inherit" w:hAnsi="inherit" w:cs="新細明體"/>
          <w:color w:val="666666"/>
          <w:kern w:val="0"/>
          <w:sz w:val="20"/>
          <w:szCs w:val="20"/>
          <w:bdr w:val="none" w:sz="0" w:space="0" w:color="auto" w:frame="1"/>
        </w:rPr>
        <w:t>200</w:t>
      </w:r>
      <w:r w:rsidRPr="00780C66">
        <w:rPr>
          <w:rFonts w:ascii="Verdana" w:hAnsi="Verdana" w:cs="新細明體"/>
          <w:color w:val="666666"/>
          <w:kern w:val="0"/>
          <w:sz w:val="20"/>
          <w:szCs w:val="20"/>
        </w:rPr>
        <w:t>元、</w:t>
      </w:r>
      <w:r w:rsidRPr="00780C66">
        <w:rPr>
          <w:rFonts w:ascii="inherit" w:hAnsi="inherit" w:cs="新細明體"/>
          <w:color w:val="666666"/>
          <w:kern w:val="0"/>
          <w:sz w:val="20"/>
          <w:szCs w:val="20"/>
          <w:bdr w:val="none" w:sz="0" w:space="0" w:color="auto" w:frame="1"/>
        </w:rPr>
        <w:t>2,700</w:t>
      </w:r>
      <w:r w:rsidRPr="00780C66">
        <w:rPr>
          <w:rFonts w:ascii="Verdana" w:hAnsi="Verdana" w:cs="新細明體"/>
          <w:color w:val="666666"/>
          <w:kern w:val="0"/>
          <w:sz w:val="20"/>
          <w:szCs w:val="20"/>
        </w:rPr>
        <w:t>元和</w:t>
      </w:r>
      <w:r w:rsidRPr="00780C66">
        <w:rPr>
          <w:rFonts w:ascii="inherit" w:hAnsi="inherit" w:cs="新細明體"/>
          <w:color w:val="666666"/>
          <w:kern w:val="0"/>
          <w:sz w:val="20"/>
          <w:szCs w:val="20"/>
          <w:bdr w:val="none" w:sz="0" w:space="0" w:color="auto" w:frame="1"/>
        </w:rPr>
        <w:t>800</w:t>
      </w:r>
      <w:r w:rsidRPr="00780C66">
        <w:rPr>
          <w:rFonts w:ascii="Verdana" w:hAnsi="Verdana" w:cs="新細明體"/>
          <w:color w:val="666666"/>
          <w:kern w:val="0"/>
          <w:sz w:val="20"/>
          <w:szCs w:val="20"/>
        </w:rPr>
        <w:t>元。</w:t>
      </w:r>
    </w:p>
    <w:p w:rsidR="00780C66" w:rsidRPr="00780C66" w:rsidRDefault="00780C66" w:rsidP="00780C66">
      <w:pPr>
        <w:widowControl/>
        <w:shd w:val="clear" w:color="auto" w:fill="FFFFFF"/>
        <w:spacing w:line="336" w:lineRule="atLeast"/>
        <w:textAlignment w:val="baseline"/>
        <w:rPr>
          <w:rFonts w:ascii="Verdana" w:hAnsi="Verdana" w:cs="新細明體"/>
          <w:color w:val="666666"/>
          <w:kern w:val="0"/>
          <w:sz w:val="20"/>
          <w:szCs w:val="20"/>
        </w:rPr>
      </w:pPr>
      <w:r w:rsidRPr="00780C66">
        <w:rPr>
          <w:rFonts w:ascii="Verdana" w:hAnsi="Verdana" w:cs="新細明體"/>
          <w:color w:val="666666"/>
          <w:kern w:val="0"/>
          <w:sz w:val="20"/>
          <w:szCs w:val="20"/>
        </w:rPr>
        <w:t>在非經常性開支方面，如購買復康或醫療器材、手術、檢查等，受訪者每月的平均支出</w:t>
      </w:r>
      <w:r w:rsidRPr="00780C66">
        <w:rPr>
          <w:rFonts w:ascii="Verdana" w:hAnsi="Verdana" w:cs="新細明體"/>
          <w:color w:val="666666"/>
          <w:kern w:val="0"/>
          <w:sz w:val="20"/>
          <w:szCs w:val="20"/>
        </w:rPr>
        <w:t>6</w:t>
      </w:r>
      <w:r w:rsidRPr="00780C66">
        <w:rPr>
          <w:rFonts w:ascii="Verdana" w:hAnsi="Verdana" w:cs="新細明體"/>
          <w:color w:val="666666"/>
          <w:kern w:val="0"/>
          <w:sz w:val="20"/>
          <w:szCs w:val="20"/>
        </w:rPr>
        <w:t>為</w:t>
      </w:r>
      <w:r w:rsidRPr="00780C66">
        <w:rPr>
          <w:rFonts w:ascii="inherit" w:hAnsi="inherit" w:cs="新細明體"/>
          <w:color w:val="666666"/>
          <w:kern w:val="0"/>
          <w:sz w:val="20"/>
          <w:szCs w:val="20"/>
          <w:bdr w:val="none" w:sz="0" w:space="0" w:color="auto" w:frame="1"/>
        </w:rPr>
        <w:t>530</w:t>
      </w:r>
      <w:r w:rsidRPr="00780C66">
        <w:rPr>
          <w:rFonts w:ascii="Verdana" w:hAnsi="Verdana" w:cs="新細明體"/>
          <w:color w:val="666666"/>
          <w:kern w:val="0"/>
          <w:sz w:val="20"/>
          <w:szCs w:val="20"/>
        </w:rPr>
        <w:t>元。主要包括輔助工具或器材</w:t>
      </w:r>
      <w:r w:rsidRPr="00780C66">
        <w:rPr>
          <w:rFonts w:ascii="inherit" w:hAnsi="inherit" w:cs="新細明體"/>
          <w:color w:val="666666"/>
          <w:kern w:val="0"/>
          <w:sz w:val="20"/>
          <w:szCs w:val="20"/>
          <w:bdr w:val="none" w:sz="0" w:space="0" w:color="auto" w:frame="1"/>
        </w:rPr>
        <w:t>(</w:t>
      </w:r>
      <w:r w:rsidRPr="00780C66">
        <w:rPr>
          <w:rFonts w:ascii="Verdana" w:hAnsi="Verdana" w:cs="新細明體"/>
          <w:color w:val="666666"/>
          <w:kern w:val="0"/>
          <w:sz w:val="20"/>
          <w:szCs w:val="20"/>
        </w:rPr>
        <w:t>平均支出為</w:t>
      </w:r>
      <w:r w:rsidRPr="00780C66">
        <w:rPr>
          <w:rFonts w:ascii="inherit" w:hAnsi="inherit" w:cs="新細明體"/>
          <w:color w:val="666666"/>
          <w:kern w:val="0"/>
          <w:sz w:val="20"/>
          <w:szCs w:val="20"/>
          <w:bdr w:val="none" w:sz="0" w:space="0" w:color="auto" w:frame="1"/>
        </w:rPr>
        <w:t>470</w:t>
      </w:r>
      <w:r w:rsidRPr="00780C66">
        <w:rPr>
          <w:rFonts w:ascii="Verdana" w:hAnsi="Verdana" w:cs="新細明體"/>
          <w:color w:val="666666"/>
          <w:kern w:val="0"/>
          <w:sz w:val="20"/>
          <w:szCs w:val="20"/>
        </w:rPr>
        <w:t>元</w:t>
      </w:r>
      <w:r w:rsidRPr="00780C66">
        <w:rPr>
          <w:rFonts w:ascii="inherit" w:hAnsi="inherit" w:cs="新細明體"/>
          <w:color w:val="666666"/>
          <w:kern w:val="0"/>
          <w:sz w:val="20"/>
          <w:szCs w:val="20"/>
          <w:bdr w:val="none" w:sz="0" w:space="0" w:color="auto" w:frame="1"/>
        </w:rPr>
        <w:t>)</w:t>
      </w:r>
      <w:r w:rsidRPr="00780C66">
        <w:rPr>
          <w:rFonts w:ascii="Verdana" w:hAnsi="Verdana" w:cs="新細明體"/>
          <w:color w:val="666666"/>
          <w:kern w:val="0"/>
          <w:sz w:val="20"/>
          <w:szCs w:val="20"/>
        </w:rPr>
        <w:t>，其維修費用</w:t>
      </w:r>
      <w:r w:rsidRPr="00780C66">
        <w:rPr>
          <w:rFonts w:ascii="inherit" w:hAnsi="inherit" w:cs="新細明體"/>
          <w:color w:val="666666"/>
          <w:kern w:val="0"/>
          <w:sz w:val="20"/>
          <w:szCs w:val="20"/>
          <w:bdr w:val="none" w:sz="0" w:space="0" w:color="auto" w:frame="1"/>
        </w:rPr>
        <w:t>(100</w:t>
      </w:r>
      <w:r w:rsidRPr="00780C66">
        <w:rPr>
          <w:rFonts w:ascii="Verdana" w:hAnsi="Verdana" w:cs="新細明體"/>
          <w:color w:val="666666"/>
          <w:kern w:val="0"/>
          <w:sz w:val="20"/>
          <w:szCs w:val="20"/>
        </w:rPr>
        <w:t>元</w:t>
      </w:r>
      <w:r w:rsidRPr="00780C66">
        <w:rPr>
          <w:rFonts w:ascii="inherit" w:hAnsi="inherit" w:cs="新細明體"/>
          <w:color w:val="666666"/>
          <w:kern w:val="0"/>
          <w:sz w:val="20"/>
          <w:szCs w:val="20"/>
          <w:bdr w:val="none" w:sz="0" w:space="0" w:color="auto" w:frame="1"/>
        </w:rPr>
        <w:t>)</w:t>
      </w:r>
      <w:r w:rsidRPr="00780C66">
        <w:rPr>
          <w:rFonts w:ascii="Verdana" w:hAnsi="Verdana" w:cs="新細明體"/>
          <w:color w:val="666666"/>
          <w:kern w:val="0"/>
          <w:sz w:val="20"/>
          <w:szCs w:val="20"/>
        </w:rPr>
        <w:t>、醫療檢查</w:t>
      </w:r>
      <w:r w:rsidRPr="00780C66">
        <w:rPr>
          <w:rFonts w:ascii="inherit" w:hAnsi="inherit" w:cs="新細明體"/>
          <w:color w:val="666666"/>
          <w:kern w:val="0"/>
          <w:sz w:val="20"/>
          <w:szCs w:val="20"/>
          <w:bdr w:val="none" w:sz="0" w:space="0" w:color="auto" w:frame="1"/>
        </w:rPr>
        <w:t>(440</w:t>
      </w:r>
      <w:r w:rsidRPr="00780C66">
        <w:rPr>
          <w:rFonts w:ascii="Verdana" w:hAnsi="Verdana" w:cs="新細明體"/>
          <w:color w:val="666666"/>
          <w:kern w:val="0"/>
          <w:sz w:val="20"/>
          <w:szCs w:val="20"/>
        </w:rPr>
        <w:t>元</w:t>
      </w:r>
      <w:r w:rsidRPr="00780C66">
        <w:rPr>
          <w:rFonts w:ascii="inherit" w:hAnsi="inherit" w:cs="新細明體"/>
          <w:color w:val="666666"/>
          <w:kern w:val="0"/>
          <w:sz w:val="20"/>
          <w:szCs w:val="20"/>
          <w:bdr w:val="none" w:sz="0" w:space="0" w:color="auto" w:frame="1"/>
        </w:rPr>
        <w:t>)</w:t>
      </w:r>
      <w:r w:rsidRPr="00780C66">
        <w:rPr>
          <w:rFonts w:ascii="Verdana" w:hAnsi="Verdana" w:cs="新細明體"/>
          <w:color w:val="666666"/>
          <w:kern w:val="0"/>
          <w:sz w:val="20"/>
          <w:szCs w:val="20"/>
        </w:rPr>
        <w:t>，其他醫療服務</w:t>
      </w:r>
      <w:r w:rsidRPr="00780C66">
        <w:rPr>
          <w:rFonts w:ascii="Verdana" w:hAnsi="Verdana" w:cs="新細明體"/>
          <w:color w:val="666666"/>
          <w:kern w:val="0"/>
          <w:sz w:val="20"/>
          <w:szCs w:val="20"/>
        </w:rPr>
        <w:t>7 (430</w:t>
      </w:r>
      <w:r w:rsidRPr="00780C66">
        <w:rPr>
          <w:rFonts w:ascii="Verdana" w:hAnsi="Verdana" w:cs="新細明體"/>
          <w:color w:val="666666"/>
          <w:kern w:val="0"/>
          <w:sz w:val="20"/>
          <w:szCs w:val="20"/>
        </w:rPr>
        <w:t>元</w:t>
      </w:r>
      <w:r w:rsidRPr="00780C66">
        <w:rPr>
          <w:rFonts w:ascii="inherit" w:hAnsi="inherit" w:cs="新細明體"/>
          <w:color w:val="666666"/>
          <w:kern w:val="0"/>
          <w:sz w:val="20"/>
          <w:szCs w:val="20"/>
          <w:bdr w:val="none" w:sz="0" w:space="0" w:color="auto" w:frame="1"/>
        </w:rPr>
        <w:t>)</w:t>
      </w:r>
      <w:r w:rsidRPr="00780C66">
        <w:rPr>
          <w:rFonts w:ascii="Verdana" w:hAnsi="Verdana" w:cs="新細明體"/>
          <w:color w:val="666666"/>
          <w:kern w:val="0"/>
          <w:sz w:val="20"/>
          <w:szCs w:val="20"/>
        </w:rPr>
        <w:t>，醫療</w:t>
      </w:r>
      <w:r w:rsidRPr="00780C66">
        <w:rPr>
          <w:rFonts w:ascii="inherit" w:hAnsi="inherit" w:cs="新細明體"/>
          <w:color w:val="666666"/>
          <w:kern w:val="0"/>
          <w:sz w:val="20"/>
          <w:szCs w:val="20"/>
          <w:bdr w:val="none" w:sz="0" w:space="0" w:color="auto" w:frame="1"/>
        </w:rPr>
        <w:t>/</w:t>
      </w:r>
      <w:r w:rsidRPr="00780C66">
        <w:rPr>
          <w:rFonts w:ascii="Verdana" w:hAnsi="Verdana" w:cs="新細明體"/>
          <w:color w:val="666666"/>
          <w:kern w:val="0"/>
          <w:sz w:val="20"/>
          <w:szCs w:val="20"/>
        </w:rPr>
        <w:t>復康消耗用品、儀器或器材</w:t>
      </w:r>
      <w:r w:rsidRPr="00780C66">
        <w:rPr>
          <w:rFonts w:ascii="Verdana" w:hAnsi="Verdana" w:cs="新細明體"/>
          <w:color w:val="666666"/>
          <w:kern w:val="0"/>
          <w:sz w:val="20"/>
          <w:szCs w:val="20"/>
        </w:rPr>
        <w:t>8 (210</w:t>
      </w:r>
      <w:r w:rsidRPr="00780C66">
        <w:rPr>
          <w:rFonts w:ascii="Verdana" w:hAnsi="Verdana" w:cs="新細明體"/>
          <w:color w:val="666666"/>
          <w:kern w:val="0"/>
          <w:sz w:val="20"/>
          <w:szCs w:val="20"/>
        </w:rPr>
        <w:t>元</w:t>
      </w:r>
      <w:r w:rsidRPr="00780C66">
        <w:rPr>
          <w:rFonts w:ascii="inherit" w:hAnsi="inherit" w:cs="新細明體"/>
          <w:color w:val="666666"/>
          <w:kern w:val="0"/>
          <w:sz w:val="20"/>
          <w:szCs w:val="20"/>
          <w:bdr w:val="none" w:sz="0" w:space="0" w:color="auto" w:frame="1"/>
        </w:rPr>
        <w:t>)</w:t>
      </w:r>
      <w:r w:rsidRPr="00780C66">
        <w:rPr>
          <w:rFonts w:ascii="Verdana" w:hAnsi="Verdana" w:cs="新細明體"/>
          <w:color w:val="666666"/>
          <w:kern w:val="0"/>
          <w:sz w:val="20"/>
          <w:szCs w:val="20"/>
        </w:rPr>
        <w:t>等。</w:t>
      </w:r>
    </w:p>
    <w:p w:rsidR="00780C66" w:rsidRPr="00780C66" w:rsidRDefault="00780C66" w:rsidP="00780C66">
      <w:pPr>
        <w:widowControl/>
        <w:shd w:val="clear" w:color="auto" w:fill="FFFFFF"/>
        <w:spacing w:line="336" w:lineRule="atLeast"/>
        <w:textAlignment w:val="baseline"/>
        <w:rPr>
          <w:rFonts w:ascii="Verdana" w:hAnsi="Verdana" w:cs="新細明體"/>
          <w:color w:val="666666"/>
          <w:kern w:val="0"/>
          <w:sz w:val="20"/>
          <w:szCs w:val="20"/>
        </w:rPr>
      </w:pPr>
      <w:r w:rsidRPr="00780C66">
        <w:rPr>
          <w:rFonts w:ascii="Verdana" w:hAnsi="Verdana" w:cs="新細明體"/>
          <w:color w:val="666666"/>
          <w:kern w:val="0"/>
          <w:sz w:val="20"/>
          <w:szCs w:val="20"/>
        </w:rPr>
        <w:t>由此可見，殘疾人士和長期病患者每月平均有關健康的經常性和非經常性開支約共</w:t>
      </w:r>
      <w:r w:rsidRPr="00780C66">
        <w:rPr>
          <w:rFonts w:ascii="inherit" w:hAnsi="inherit" w:cs="新細明體"/>
          <w:color w:val="666666"/>
          <w:kern w:val="0"/>
          <w:sz w:val="20"/>
        </w:rPr>
        <w:t> </w:t>
      </w:r>
      <w:r w:rsidRPr="00780C66">
        <w:rPr>
          <w:rFonts w:ascii="inherit" w:hAnsi="inherit" w:cs="新細明體"/>
          <w:color w:val="666666"/>
          <w:kern w:val="0"/>
          <w:sz w:val="20"/>
          <w:szCs w:val="20"/>
          <w:bdr w:val="none" w:sz="0" w:space="0" w:color="auto" w:frame="1"/>
        </w:rPr>
        <w:t>2500</w:t>
      </w:r>
      <w:r w:rsidRPr="00780C66">
        <w:rPr>
          <w:rFonts w:ascii="Verdana" w:hAnsi="Verdana" w:cs="新細明體"/>
          <w:color w:val="666666"/>
          <w:kern w:val="0"/>
          <w:sz w:val="20"/>
          <w:szCs w:val="20"/>
        </w:rPr>
        <w:t>元，開支龐大，即使是有領取普通及高額傷殘津貼，也不能抵銷有關開支。</w:t>
      </w:r>
      <w:proofErr w:type="gramStart"/>
      <w:r w:rsidRPr="00780C66">
        <w:rPr>
          <w:rFonts w:ascii="Verdana" w:hAnsi="Verdana" w:cs="新細明體"/>
          <w:color w:val="666666"/>
          <w:kern w:val="0"/>
          <w:sz w:val="20"/>
          <w:szCs w:val="20"/>
        </w:rPr>
        <w:t>此外，</w:t>
      </w:r>
      <w:proofErr w:type="gramEnd"/>
      <w:r w:rsidRPr="00780C66">
        <w:rPr>
          <w:rFonts w:ascii="Verdana" w:hAnsi="Verdana" w:cs="新細明體"/>
          <w:color w:val="666666"/>
          <w:kern w:val="0"/>
          <w:sz w:val="20"/>
          <w:szCs w:val="20"/>
        </w:rPr>
        <w:t>近兩成受訪者亦需額外購買處方藥物。</w:t>
      </w:r>
    </w:p>
    <w:p w:rsidR="00780C66" w:rsidRPr="00780C66" w:rsidRDefault="00780C66" w:rsidP="00780C66">
      <w:pPr>
        <w:widowControl/>
        <w:numPr>
          <w:ilvl w:val="0"/>
          <w:numId w:val="4"/>
        </w:numPr>
        <w:shd w:val="clear" w:color="auto" w:fill="FFFFFF"/>
        <w:spacing w:line="336" w:lineRule="atLeast"/>
        <w:ind w:left="444" w:firstLine="0"/>
        <w:textAlignment w:val="baseline"/>
        <w:rPr>
          <w:rFonts w:ascii="inherit" w:hAnsi="inherit" w:cs="新細明體"/>
          <w:color w:val="666666"/>
          <w:kern w:val="0"/>
          <w:sz w:val="20"/>
          <w:szCs w:val="20"/>
        </w:rPr>
      </w:pPr>
      <w:r w:rsidRPr="00780C66">
        <w:rPr>
          <w:rFonts w:ascii="inherit" w:hAnsi="inherit" w:cs="新細明體"/>
          <w:color w:val="666666"/>
          <w:kern w:val="0"/>
          <w:sz w:val="20"/>
          <w:szCs w:val="20"/>
        </w:rPr>
        <w:t>殘疾人士和長期病患者的日常生活和社會參與的困難程度</w:t>
      </w:r>
    </w:p>
    <w:p w:rsidR="00780C66" w:rsidRPr="00780C66" w:rsidRDefault="00780C66" w:rsidP="00780C66">
      <w:pPr>
        <w:widowControl/>
        <w:shd w:val="clear" w:color="auto" w:fill="FFFFFF"/>
        <w:spacing w:line="336" w:lineRule="atLeast"/>
        <w:textAlignment w:val="baseline"/>
        <w:rPr>
          <w:rFonts w:ascii="Verdana" w:hAnsi="Verdana" w:cs="新細明體"/>
          <w:color w:val="666666"/>
          <w:kern w:val="0"/>
          <w:sz w:val="20"/>
          <w:szCs w:val="20"/>
        </w:rPr>
      </w:pPr>
      <w:r w:rsidRPr="00780C66">
        <w:rPr>
          <w:rFonts w:ascii="Verdana" w:hAnsi="Verdana" w:cs="新細明體"/>
          <w:color w:val="666666"/>
          <w:kern w:val="0"/>
          <w:sz w:val="20"/>
          <w:szCs w:val="20"/>
        </w:rPr>
        <w:t>根據世界衛生組織有關日常生活和社會參與的困難之量度工具</w:t>
      </w:r>
      <w:r w:rsidRPr="00780C66">
        <w:rPr>
          <w:rFonts w:ascii="inherit" w:hAnsi="inherit" w:cs="新細明體"/>
          <w:color w:val="666666"/>
          <w:kern w:val="0"/>
          <w:sz w:val="20"/>
        </w:rPr>
        <w:t> </w:t>
      </w:r>
      <w:r w:rsidRPr="00780C66">
        <w:rPr>
          <w:rFonts w:ascii="inherit" w:hAnsi="inherit" w:cs="新細明體"/>
          <w:color w:val="666666"/>
          <w:kern w:val="0"/>
          <w:sz w:val="20"/>
          <w:szCs w:val="20"/>
          <w:bdr w:val="none" w:sz="0" w:space="0" w:color="auto" w:frame="1"/>
        </w:rPr>
        <w:t>(WHODAS V2)</w:t>
      </w:r>
      <w:r w:rsidRPr="00780C66">
        <w:rPr>
          <w:rFonts w:ascii="Verdana" w:hAnsi="Verdana" w:cs="新細明體"/>
          <w:color w:val="666666"/>
          <w:kern w:val="0"/>
          <w:sz w:val="20"/>
          <w:szCs w:val="20"/>
        </w:rPr>
        <w:t>，量度七個相關範疇，包括理解與交流、活動、自我照顧、與他人相處、家務、工作或學習和社會參與。整體而言，受訪者日常生活和社會參與的困難達至中等程度。有多種殘疾或長期病患的受訪者，相比只有一種殘疾或長期病患的受訪者在整體活動和社會參與的困難程度都顯著地高百分之三十二。可見殘疾人士和長期病患者在除了在身體方面的限制外，他們在日常生活和社會參與方面都遇到很大的困難。</w:t>
      </w:r>
    </w:p>
    <w:p w:rsidR="00780C66" w:rsidRPr="00780C66" w:rsidRDefault="00780C66" w:rsidP="00780C66">
      <w:pPr>
        <w:widowControl/>
        <w:numPr>
          <w:ilvl w:val="0"/>
          <w:numId w:val="5"/>
        </w:numPr>
        <w:shd w:val="clear" w:color="auto" w:fill="FFFFFF"/>
        <w:spacing w:line="336" w:lineRule="atLeast"/>
        <w:ind w:left="444" w:firstLine="0"/>
        <w:textAlignment w:val="baseline"/>
        <w:rPr>
          <w:rFonts w:ascii="inherit" w:hAnsi="inherit" w:cs="新細明體"/>
          <w:color w:val="666666"/>
          <w:kern w:val="0"/>
          <w:sz w:val="20"/>
          <w:szCs w:val="20"/>
        </w:rPr>
      </w:pPr>
      <w:r w:rsidRPr="00780C66">
        <w:rPr>
          <w:rFonts w:ascii="inherit" w:hAnsi="inherit" w:cs="新細明體"/>
          <w:color w:val="666666"/>
          <w:kern w:val="0"/>
          <w:sz w:val="20"/>
          <w:szCs w:val="20"/>
        </w:rPr>
        <w:t>殘疾人士和長期病患者領取傷殘津貼的狀況</w:t>
      </w:r>
    </w:p>
    <w:p w:rsidR="00780C66" w:rsidRPr="00780C66" w:rsidRDefault="00780C66" w:rsidP="00780C66">
      <w:pPr>
        <w:widowControl/>
        <w:shd w:val="clear" w:color="auto" w:fill="FFFFFF"/>
        <w:spacing w:line="336" w:lineRule="atLeast"/>
        <w:textAlignment w:val="baseline"/>
        <w:rPr>
          <w:rFonts w:ascii="Verdana" w:hAnsi="Verdana" w:cs="新細明體"/>
          <w:color w:val="666666"/>
          <w:kern w:val="0"/>
          <w:sz w:val="20"/>
          <w:szCs w:val="20"/>
        </w:rPr>
      </w:pPr>
      <w:r w:rsidRPr="00780C66">
        <w:rPr>
          <w:rFonts w:ascii="Verdana" w:hAnsi="Verdana" w:cs="新細明體"/>
          <w:color w:val="666666"/>
          <w:kern w:val="0"/>
          <w:sz w:val="20"/>
          <w:szCs w:val="20"/>
        </w:rPr>
        <w:t>782</w:t>
      </w:r>
      <w:r w:rsidRPr="00780C66">
        <w:rPr>
          <w:rFonts w:ascii="Verdana" w:hAnsi="Verdana" w:cs="新細明體"/>
          <w:color w:val="666666"/>
          <w:kern w:val="0"/>
          <w:sz w:val="20"/>
          <w:szCs w:val="20"/>
        </w:rPr>
        <w:t>有效回應的受訪者中</w:t>
      </w:r>
      <w:r w:rsidRPr="00780C66">
        <w:rPr>
          <w:rFonts w:ascii="Verdana" w:hAnsi="Verdana" w:cs="新細明體"/>
          <w:color w:val="666666"/>
          <w:kern w:val="0"/>
          <w:sz w:val="20"/>
          <w:szCs w:val="20"/>
        </w:rPr>
        <w:t>9 60.6% (474</w:t>
      </w:r>
      <w:r w:rsidRPr="00780C66">
        <w:rPr>
          <w:rFonts w:ascii="Verdana" w:hAnsi="Verdana" w:cs="新細明體"/>
          <w:color w:val="666666"/>
          <w:kern w:val="0"/>
          <w:sz w:val="20"/>
          <w:szCs w:val="20"/>
        </w:rPr>
        <w:t>人</w:t>
      </w:r>
      <w:r w:rsidRPr="00780C66">
        <w:rPr>
          <w:rFonts w:ascii="inherit" w:hAnsi="inherit" w:cs="新細明體"/>
          <w:color w:val="666666"/>
          <w:kern w:val="0"/>
          <w:sz w:val="20"/>
          <w:szCs w:val="20"/>
          <w:bdr w:val="none" w:sz="0" w:space="0" w:color="auto" w:frame="1"/>
        </w:rPr>
        <w:t>)</w:t>
      </w:r>
      <w:r w:rsidRPr="00780C66">
        <w:rPr>
          <w:rFonts w:ascii="inherit" w:hAnsi="inherit" w:cs="新細明體"/>
          <w:color w:val="666666"/>
          <w:kern w:val="0"/>
          <w:sz w:val="20"/>
        </w:rPr>
        <w:t> </w:t>
      </w:r>
      <w:r w:rsidRPr="00780C66">
        <w:rPr>
          <w:rFonts w:ascii="Verdana" w:hAnsi="Verdana" w:cs="新細明體"/>
          <w:color w:val="666666"/>
          <w:kern w:val="0"/>
          <w:sz w:val="20"/>
          <w:szCs w:val="20"/>
        </w:rPr>
        <w:t>表示曾申請過傷殘津貼，</w:t>
      </w:r>
      <w:r w:rsidRPr="00780C66">
        <w:rPr>
          <w:rFonts w:ascii="inherit" w:hAnsi="inherit" w:cs="新細明體"/>
          <w:color w:val="666666"/>
          <w:kern w:val="0"/>
          <w:sz w:val="20"/>
          <w:szCs w:val="20"/>
          <w:bdr w:val="none" w:sz="0" w:space="0" w:color="auto" w:frame="1"/>
        </w:rPr>
        <w:t>308</w:t>
      </w:r>
      <w:r w:rsidRPr="00780C66">
        <w:rPr>
          <w:rFonts w:ascii="Verdana" w:hAnsi="Verdana" w:cs="新細明體"/>
          <w:color w:val="666666"/>
          <w:kern w:val="0"/>
          <w:sz w:val="20"/>
          <w:szCs w:val="20"/>
        </w:rPr>
        <w:t>人</w:t>
      </w:r>
      <w:r w:rsidRPr="00780C66">
        <w:rPr>
          <w:rFonts w:ascii="inherit" w:hAnsi="inherit" w:cs="新細明體"/>
          <w:color w:val="666666"/>
          <w:kern w:val="0"/>
          <w:sz w:val="20"/>
        </w:rPr>
        <w:t> </w:t>
      </w:r>
      <w:r w:rsidRPr="00780C66">
        <w:rPr>
          <w:rFonts w:ascii="inherit" w:hAnsi="inherit" w:cs="新細明體"/>
          <w:color w:val="666666"/>
          <w:kern w:val="0"/>
          <w:sz w:val="20"/>
          <w:szCs w:val="20"/>
          <w:bdr w:val="none" w:sz="0" w:space="0" w:color="auto" w:frame="1"/>
        </w:rPr>
        <w:t>(39.4%)</w:t>
      </w:r>
      <w:r w:rsidRPr="00780C66">
        <w:rPr>
          <w:rFonts w:ascii="inherit" w:hAnsi="inherit" w:cs="新細明體"/>
          <w:color w:val="666666"/>
          <w:kern w:val="0"/>
          <w:sz w:val="20"/>
        </w:rPr>
        <w:t> </w:t>
      </w:r>
      <w:r w:rsidRPr="00780C66">
        <w:rPr>
          <w:rFonts w:ascii="Verdana" w:hAnsi="Verdana" w:cs="新細明體"/>
          <w:color w:val="666666"/>
          <w:kern w:val="0"/>
          <w:sz w:val="20"/>
          <w:szCs w:val="20"/>
        </w:rPr>
        <w:t>沒有申請過傷殘津貼，</w:t>
      </w:r>
      <w:r w:rsidRPr="00780C66">
        <w:rPr>
          <w:rFonts w:ascii="inherit" w:hAnsi="inherit" w:cs="新細明體"/>
          <w:color w:val="666666"/>
          <w:kern w:val="0"/>
          <w:sz w:val="20"/>
          <w:szCs w:val="20"/>
          <w:bdr w:val="none" w:sz="0" w:space="0" w:color="auto" w:frame="1"/>
        </w:rPr>
        <w:t>238</w:t>
      </w:r>
      <w:r w:rsidRPr="00780C66">
        <w:rPr>
          <w:rFonts w:ascii="Verdana" w:hAnsi="Verdana" w:cs="新細明體"/>
          <w:color w:val="666666"/>
          <w:kern w:val="0"/>
          <w:sz w:val="20"/>
          <w:szCs w:val="20"/>
        </w:rPr>
        <w:t>人</w:t>
      </w:r>
      <w:r w:rsidRPr="00780C66">
        <w:rPr>
          <w:rFonts w:ascii="inherit" w:hAnsi="inherit" w:cs="新細明體"/>
          <w:color w:val="666666"/>
          <w:kern w:val="0"/>
          <w:sz w:val="20"/>
          <w:szCs w:val="20"/>
          <w:bdr w:val="none" w:sz="0" w:space="0" w:color="auto" w:frame="1"/>
        </w:rPr>
        <w:t>(23.3%)</w:t>
      </w:r>
      <w:r w:rsidRPr="00780C66">
        <w:rPr>
          <w:rFonts w:ascii="inherit" w:hAnsi="inherit" w:cs="新細明體"/>
          <w:color w:val="666666"/>
          <w:kern w:val="0"/>
          <w:sz w:val="20"/>
        </w:rPr>
        <w:t> </w:t>
      </w:r>
      <w:r w:rsidRPr="00780C66">
        <w:rPr>
          <w:rFonts w:ascii="Verdana" w:hAnsi="Verdana" w:cs="新細明體"/>
          <w:color w:val="666666"/>
          <w:kern w:val="0"/>
          <w:sz w:val="20"/>
          <w:szCs w:val="20"/>
        </w:rPr>
        <w:t>沒有提供曾否申請的資料。在</w:t>
      </w:r>
      <w:r w:rsidRPr="00780C66">
        <w:rPr>
          <w:rFonts w:ascii="inherit" w:hAnsi="inherit" w:cs="新細明體"/>
          <w:color w:val="666666"/>
          <w:kern w:val="0"/>
          <w:sz w:val="20"/>
          <w:szCs w:val="20"/>
          <w:bdr w:val="none" w:sz="0" w:space="0" w:color="auto" w:frame="1"/>
        </w:rPr>
        <w:t>474</w:t>
      </w:r>
      <w:r w:rsidRPr="00780C66">
        <w:rPr>
          <w:rFonts w:ascii="Verdana" w:hAnsi="Verdana" w:cs="新細明體"/>
          <w:color w:val="666666"/>
          <w:kern w:val="0"/>
          <w:sz w:val="20"/>
          <w:szCs w:val="20"/>
        </w:rPr>
        <w:t>名曾申請過傷殘津貼的人士中，問及他們最近一次申請的結果，</w:t>
      </w:r>
      <w:r w:rsidRPr="00780C66">
        <w:rPr>
          <w:rFonts w:ascii="inherit" w:hAnsi="inherit" w:cs="新細明體"/>
          <w:color w:val="666666"/>
          <w:kern w:val="0"/>
          <w:sz w:val="20"/>
          <w:szCs w:val="20"/>
          <w:bdr w:val="none" w:sz="0" w:space="0" w:color="auto" w:frame="1"/>
        </w:rPr>
        <w:t>18.1% (86</w:t>
      </w:r>
      <w:r w:rsidRPr="00780C66">
        <w:rPr>
          <w:rFonts w:ascii="Verdana" w:hAnsi="Verdana" w:cs="新細明體"/>
          <w:color w:val="666666"/>
          <w:kern w:val="0"/>
          <w:sz w:val="20"/>
          <w:szCs w:val="20"/>
        </w:rPr>
        <w:t>人</w:t>
      </w:r>
      <w:r w:rsidRPr="00780C66">
        <w:rPr>
          <w:rFonts w:ascii="inherit" w:hAnsi="inherit" w:cs="新細明體"/>
          <w:color w:val="666666"/>
          <w:kern w:val="0"/>
          <w:sz w:val="20"/>
          <w:szCs w:val="20"/>
          <w:bdr w:val="none" w:sz="0" w:space="0" w:color="auto" w:frame="1"/>
        </w:rPr>
        <w:t>)</w:t>
      </w:r>
      <w:r w:rsidRPr="00780C66">
        <w:rPr>
          <w:rFonts w:ascii="inherit" w:hAnsi="inherit" w:cs="新細明體"/>
          <w:color w:val="666666"/>
          <w:kern w:val="0"/>
          <w:sz w:val="20"/>
        </w:rPr>
        <w:t> </w:t>
      </w:r>
      <w:r w:rsidRPr="00780C66">
        <w:rPr>
          <w:rFonts w:ascii="Verdana" w:hAnsi="Verdana" w:cs="新細明體"/>
          <w:color w:val="666666"/>
          <w:kern w:val="0"/>
          <w:sz w:val="20"/>
          <w:szCs w:val="20"/>
        </w:rPr>
        <w:t>表示他們的申請並不成功，</w:t>
      </w:r>
      <w:r w:rsidRPr="00780C66">
        <w:rPr>
          <w:rFonts w:ascii="inherit" w:hAnsi="inherit" w:cs="新細明體"/>
          <w:color w:val="666666"/>
          <w:kern w:val="0"/>
          <w:sz w:val="20"/>
          <w:szCs w:val="20"/>
          <w:bdr w:val="none" w:sz="0" w:space="0" w:color="auto" w:frame="1"/>
        </w:rPr>
        <w:t>388</w:t>
      </w:r>
      <w:r w:rsidRPr="00780C66">
        <w:rPr>
          <w:rFonts w:ascii="Verdana" w:hAnsi="Verdana" w:cs="新細明體"/>
          <w:color w:val="666666"/>
          <w:kern w:val="0"/>
          <w:sz w:val="20"/>
          <w:szCs w:val="20"/>
        </w:rPr>
        <w:t>人</w:t>
      </w:r>
      <w:r w:rsidRPr="00780C66">
        <w:rPr>
          <w:rFonts w:ascii="inherit" w:hAnsi="inherit" w:cs="新細明體"/>
          <w:color w:val="666666"/>
          <w:kern w:val="0"/>
          <w:sz w:val="20"/>
          <w:szCs w:val="20"/>
          <w:bdr w:val="none" w:sz="0" w:space="0" w:color="auto" w:frame="1"/>
        </w:rPr>
        <w:t>(81.9%)</w:t>
      </w:r>
      <w:r w:rsidRPr="00780C66">
        <w:rPr>
          <w:rFonts w:ascii="Verdana" w:hAnsi="Verdana" w:cs="新細明體"/>
          <w:color w:val="666666"/>
          <w:kern w:val="0"/>
          <w:sz w:val="20"/>
          <w:szCs w:val="20"/>
        </w:rPr>
        <w:t>能夠成功申請。成功獲批的個案中，</w:t>
      </w:r>
      <w:r w:rsidRPr="00780C66">
        <w:rPr>
          <w:rFonts w:ascii="inherit" w:hAnsi="inherit" w:cs="新細明體"/>
          <w:color w:val="666666"/>
          <w:kern w:val="0"/>
          <w:sz w:val="20"/>
          <w:szCs w:val="20"/>
          <w:bdr w:val="none" w:sz="0" w:space="0" w:color="auto" w:frame="1"/>
        </w:rPr>
        <w:t>76.5%(297</w:t>
      </w:r>
      <w:r w:rsidRPr="00780C66">
        <w:rPr>
          <w:rFonts w:ascii="Verdana" w:hAnsi="Verdana" w:cs="新細明體"/>
          <w:color w:val="666666"/>
          <w:kern w:val="0"/>
          <w:sz w:val="20"/>
          <w:szCs w:val="20"/>
        </w:rPr>
        <w:t>人</w:t>
      </w:r>
      <w:r w:rsidRPr="00780C66">
        <w:rPr>
          <w:rFonts w:ascii="inherit" w:hAnsi="inherit" w:cs="新細明體"/>
          <w:color w:val="666666"/>
          <w:kern w:val="0"/>
          <w:sz w:val="20"/>
          <w:szCs w:val="20"/>
          <w:bdr w:val="none" w:sz="0" w:space="0" w:color="auto" w:frame="1"/>
        </w:rPr>
        <w:t>)</w:t>
      </w:r>
      <w:r w:rsidRPr="00780C66">
        <w:rPr>
          <w:rFonts w:ascii="Verdana" w:hAnsi="Verdana" w:cs="新細明體"/>
          <w:color w:val="666666"/>
          <w:kern w:val="0"/>
          <w:sz w:val="20"/>
          <w:szCs w:val="20"/>
        </w:rPr>
        <w:t>獲發普通額傷殘津貼，而</w:t>
      </w:r>
      <w:r w:rsidRPr="00780C66">
        <w:rPr>
          <w:rFonts w:ascii="inherit" w:hAnsi="inherit" w:cs="新細明體"/>
          <w:color w:val="666666"/>
          <w:kern w:val="0"/>
          <w:sz w:val="20"/>
          <w:szCs w:val="20"/>
          <w:bdr w:val="none" w:sz="0" w:space="0" w:color="auto" w:frame="1"/>
        </w:rPr>
        <w:t>23.5% (91</w:t>
      </w:r>
      <w:r w:rsidRPr="00780C66">
        <w:rPr>
          <w:rFonts w:ascii="Verdana" w:hAnsi="Verdana" w:cs="新細明體"/>
          <w:color w:val="666666"/>
          <w:kern w:val="0"/>
          <w:sz w:val="20"/>
          <w:szCs w:val="20"/>
        </w:rPr>
        <w:t>人</w:t>
      </w:r>
      <w:r w:rsidRPr="00780C66">
        <w:rPr>
          <w:rFonts w:ascii="inherit" w:hAnsi="inherit" w:cs="新細明體"/>
          <w:color w:val="666666"/>
          <w:kern w:val="0"/>
          <w:sz w:val="20"/>
          <w:szCs w:val="20"/>
          <w:bdr w:val="none" w:sz="0" w:space="0" w:color="auto" w:frame="1"/>
        </w:rPr>
        <w:t>)</w:t>
      </w:r>
      <w:r w:rsidRPr="00780C66">
        <w:rPr>
          <w:rFonts w:ascii="Verdana" w:hAnsi="Verdana" w:cs="新細明體"/>
          <w:color w:val="666666"/>
          <w:kern w:val="0"/>
          <w:sz w:val="20"/>
          <w:szCs w:val="20"/>
        </w:rPr>
        <w:t>則獲批高額傷殘津貼。</w:t>
      </w:r>
    </w:p>
    <w:p w:rsidR="00780C66" w:rsidRPr="00780C66" w:rsidRDefault="00780C66" w:rsidP="00780C66">
      <w:pPr>
        <w:widowControl/>
        <w:shd w:val="clear" w:color="auto" w:fill="FFFFFF"/>
        <w:spacing w:line="336" w:lineRule="atLeast"/>
        <w:textAlignment w:val="baseline"/>
        <w:rPr>
          <w:rFonts w:ascii="Verdana" w:hAnsi="Verdana" w:cs="新細明體"/>
          <w:color w:val="666666"/>
          <w:kern w:val="0"/>
          <w:sz w:val="20"/>
          <w:szCs w:val="20"/>
        </w:rPr>
      </w:pPr>
      <w:r w:rsidRPr="00780C66">
        <w:rPr>
          <w:rFonts w:ascii="Verdana" w:hAnsi="Verdana" w:cs="新細明體"/>
          <w:color w:val="666666"/>
          <w:kern w:val="0"/>
          <w:sz w:val="20"/>
          <w:szCs w:val="20"/>
        </w:rPr>
        <w:t>至於未能獲發傷殘津貼的原因，</w:t>
      </w:r>
      <w:r w:rsidRPr="00780C66">
        <w:rPr>
          <w:rFonts w:ascii="inherit" w:hAnsi="inherit" w:cs="新細明體"/>
          <w:color w:val="666666"/>
          <w:kern w:val="0"/>
          <w:sz w:val="20"/>
          <w:szCs w:val="20"/>
          <w:bdr w:val="none" w:sz="0" w:space="0" w:color="auto" w:frame="1"/>
        </w:rPr>
        <w:t>86</w:t>
      </w:r>
      <w:r w:rsidRPr="00780C66">
        <w:rPr>
          <w:rFonts w:ascii="Verdana" w:hAnsi="Verdana" w:cs="新細明體"/>
          <w:color w:val="666666"/>
          <w:kern w:val="0"/>
          <w:sz w:val="20"/>
          <w:szCs w:val="20"/>
        </w:rPr>
        <w:t>名被拒的受訪者中，</w:t>
      </w:r>
      <w:r w:rsidRPr="00780C66">
        <w:rPr>
          <w:rFonts w:ascii="inherit" w:hAnsi="inherit" w:cs="新細明體"/>
          <w:color w:val="666666"/>
          <w:kern w:val="0"/>
          <w:sz w:val="20"/>
          <w:szCs w:val="20"/>
          <w:bdr w:val="none" w:sz="0" w:space="0" w:color="auto" w:frame="1"/>
        </w:rPr>
        <w:t>29%</w:t>
      </w:r>
      <w:r w:rsidRPr="00780C66">
        <w:rPr>
          <w:rFonts w:ascii="Verdana" w:hAnsi="Verdana" w:cs="新細明體"/>
          <w:color w:val="666666"/>
          <w:kern w:val="0"/>
          <w:sz w:val="20"/>
          <w:szCs w:val="20"/>
        </w:rPr>
        <w:t>表示醫生認為他們的殘疾程度未達喪失</w:t>
      </w:r>
      <w:r w:rsidRPr="00780C66">
        <w:rPr>
          <w:rFonts w:ascii="inherit" w:hAnsi="inherit" w:cs="新細明體"/>
          <w:color w:val="666666"/>
          <w:kern w:val="0"/>
          <w:sz w:val="20"/>
          <w:szCs w:val="20"/>
          <w:bdr w:val="none" w:sz="0" w:space="0" w:color="auto" w:frame="1"/>
        </w:rPr>
        <w:t>100%</w:t>
      </w:r>
      <w:r w:rsidRPr="00780C66">
        <w:rPr>
          <w:rFonts w:ascii="Verdana" w:hAnsi="Verdana" w:cs="新細明體"/>
          <w:color w:val="666666"/>
          <w:kern w:val="0"/>
          <w:sz w:val="20"/>
          <w:szCs w:val="20"/>
        </w:rPr>
        <w:t>謀生能力，</w:t>
      </w:r>
      <w:r w:rsidRPr="00780C66">
        <w:rPr>
          <w:rFonts w:ascii="inherit" w:hAnsi="inherit" w:cs="新細明體"/>
          <w:color w:val="666666"/>
          <w:kern w:val="0"/>
          <w:sz w:val="20"/>
          <w:szCs w:val="20"/>
          <w:bdr w:val="none" w:sz="0" w:space="0" w:color="auto" w:frame="1"/>
        </w:rPr>
        <w:t>19%</w:t>
      </w:r>
      <w:r w:rsidRPr="00780C66">
        <w:rPr>
          <w:rFonts w:ascii="inherit" w:hAnsi="inherit" w:cs="新細明體"/>
          <w:color w:val="666666"/>
          <w:kern w:val="0"/>
          <w:sz w:val="20"/>
        </w:rPr>
        <w:t> </w:t>
      </w:r>
      <w:r w:rsidRPr="00780C66">
        <w:rPr>
          <w:rFonts w:ascii="Verdana" w:hAnsi="Verdana" w:cs="新細明體"/>
          <w:color w:val="666666"/>
          <w:kern w:val="0"/>
          <w:sz w:val="20"/>
          <w:szCs w:val="20"/>
        </w:rPr>
        <w:t>反映醫生認為他們的情況不算嚴重傷殘，</w:t>
      </w:r>
      <w:r w:rsidRPr="00780C66">
        <w:rPr>
          <w:rFonts w:ascii="inherit" w:hAnsi="inherit" w:cs="新細明體"/>
          <w:color w:val="666666"/>
          <w:kern w:val="0"/>
          <w:sz w:val="20"/>
          <w:szCs w:val="20"/>
          <w:bdr w:val="none" w:sz="0" w:space="0" w:color="auto" w:frame="1"/>
        </w:rPr>
        <w:t>15%</w:t>
      </w:r>
      <w:r w:rsidRPr="00780C66">
        <w:rPr>
          <w:rFonts w:ascii="Verdana" w:hAnsi="Verdana" w:cs="新細明體"/>
          <w:color w:val="666666"/>
          <w:kern w:val="0"/>
          <w:sz w:val="20"/>
          <w:szCs w:val="20"/>
        </w:rPr>
        <w:t>指出醫生認為他們外表健全，</w:t>
      </w:r>
      <w:r w:rsidRPr="00780C66">
        <w:rPr>
          <w:rFonts w:ascii="inherit" w:hAnsi="inherit" w:cs="新細明體"/>
          <w:color w:val="666666"/>
          <w:kern w:val="0"/>
          <w:sz w:val="20"/>
          <w:szCs w:val="20"/>
          <w:bdr w:val="none" w:sz="0" w:space="0" w:color="auto" w:frame="1"/>
        </w:rPr>
        <w:t>13%</w:t>
      </w:r>
      <w:r w:rsidRPr="00780C66">
        <w:rPr>
          <w:rFonts w:ascii="Verdana" w:hAnsi="Verdana" w:cs="新細明體"/>
          <w:color w:val="666666"/>
          <w:kern w:val="0"/>
          <w:sz w:val="20"/>
          <w:szCs w:val="20"/>
        </w:rPr>
        <w:t>醫生認為他們的情況不算傷殘、</w:t>
      </w:r>
      <w:r w:rsidRPr="00780C66">
        <w:rPr>
          <w:rFonts w:ascii="inherit" w:hAnsi="inherit" w:cs="新細明體"/>
          <w:color w:val="666666"/>
          <w:kern w:val="0"/>
          <w:sz w:val="20"/>
          <w:szCs w:val="20"/>
          <w:bdr w:val="none" w:sz="0" w:space="0" w:color="auto" w:frame="1"/>
        </w:rPr>
        <w:t>8%</w:t>
      </w:r>
      <w:r w:rsidRPr="00780C66">
        <w:rPr>
          <w:rFonts w:ascii="Verdana" w:hAnsi="Verdana" w:cs="新細明體"/>
          <w:color w:val="666666"/>
          <w:kern w:val="0"/>
          <w:sz w:val="20"/>
          <w:szCs w:val="20"/>
        </w:rPr>
        <w:t>指醫生認為他們仍有工作，而</w:t>
      </w:r>
      <w:r w:rsidRPr="00780C66">
        <w:rPr>
          <w:rFonts w:ascii="inherit" w:hAnsi="inherit" w:cs="新細明體"/>
          <w:color w:val="666666"/>
          <w:kern w:val="0"/>
          <w:sz w:val="20"/>
          <w:szCs w:val="20"/>
          <w:bdr w:val="none" w:sz="0" w:space="0" w:color="auto" w:frame="1"/>
        </w:rPr>
        <w:t>4%</w:t>
      </w:r>
      <w:r w:rsidRPr="00780C66">
        <w:rPr>
          <w:rFonts w:ascii="Verdana" w:hAnsi="Verdana" w:cs="新細明體"/>
          <w:color w:val="666666"/>
          <w:kern w:val="0"/>
          <w:sz w:val="20"/>
          <w:szCs w:val="20"/>
        </w:rPr>
        <w:t>覺得醫生認為他們經濟狀況尚可。</w:t>
      </w:r>
    </w:p>
    <w:p w:rsidR="00780C66" w:rsidRPr="00780C66" w:rsidRDefault="00780C66" w:rsidP="00780C66">
      <w:pPr>
        <w:widowControl/>
        <w:shd w:val="clear" w:color="auto" w:fill="FFFFFF"/>
        <w:spacing w:before="204" w:after="204" w:line="336" w:lineRule="atLeast"/>
        <w:textAlignment w:val="baseline"/>
        <w:rPr>
          <w:rFonts w:ascii="Verdana" w:hAnsi="Verdana" w:cs="新細明體"/>
          <w:color w:val="666666"/>
          <w:kern w:val="0"/>
          <w:sz w:val="20"/>
          <w:szCs w:val="20"/>
        </w:rPr>
      </w:pPr>
      <w:r w:rsidRPr="00780C66">
        <w:rPr>
          <w:rFonts w:ascii="Verdana" w:hAnsi="Verdana" w:cs="新細明體"/>
          <w:color w:val="666666"/>
          <w:kern w:val="0"/>
          <w:sz w:val="20"/>
          <w:szCs w:val="20"/>
        </w:rPr>
        <w:t>研究顯示，現時不少殘疾人士和長期病患者不能成功獲批傷殘津貼，但他們的需要不但跟一些獲發普通額傷殘津貼的受訪者相約，甚至在醫療開支方面有更顯著的負擔：</w:t>
      </w:r>
    </w:p>
    <w:p w:rsidR="00780C66" w:rsidRPr="00780C66" w:rsidRDefault="00780C66" w:rsidP="00780C66">
      <w:pPr>
        <w:widowControl/>
        <w:shd w:val="clear" w:color="auto" w:fill="FFFFFF"/>
        <w:spacing w:line="336" w:lineRule="atLeast"/>
        <w:textAlignment w:val="baseline"/>
        <w:rPr>
          <w:rFonts w:ascii="Verdana" w:hAnsi="Verdana" w:cs="新細明體"/>
          <w:color w:val="666666"/>
          <w:kern w:val="0"/>
          <w:sz w:val="20"/>
          <w:szCs w:val="20"/>
        </w:rPr>
      </w:pPr>
      <w:r w:rsidRPr="00780C66">
        <w:rPr>
          <w:rFonts w:ascii="Verdana" w:hAnsi="Verdana" w:cs="新細明體"/>
          <w:color w:val="666666"/>
          <w:kern w:val="0"/>
          <w:sz w:val="20"/>
          <w:szCs w:val="20"/>
        </w:rPr>
        <w:lastRenderedPageBreak/>
        <w:t>舉例說</w:t>
      </w:r>
      <w:r w:rsidRPr="00780C66">
        <w:rPr>
          <w:rFonts w:ascii="inherit" w:hAnsi="inherit" w:cs="新細明體"/>
          <w:color w:val="666666"/>
          <w:kern w:val="0"/>
          <w:sz w:val="20"/>
          <w:szCs w:val="20"/>
          <w:bdr w:val="none" w:sz="0" w:space="0" w:color="auto" w:frame="1"/>
        </w:rPr>
        <w:t>:</w:t>
      </w:r>
      <w:r w:rsidRPr="00780C66">
        <w:rPr>
          <w:rFonts w:ascii="inherit" w:hAnsi="inherit" w:cs="新細明體"/>
          <w:color w:val="666666"/>
          <w:kern w:val="0"/>
          <w:sz w:val="20"/>
        </w:rPr>
        <w:t> </w:t>
      </w:r>
      <w:r w:rsidRPr="00780C66">
        <w:rPr>
          <w:rFonts w:ascii="Verdana" w:hAnsi="Verdana" w:cs="新細明體"/>
          <w:color w:val="666666"/>
          <w:kern w:val="0"/>
          <w:sz w:val="20"/>
          <w:szCs w:val="20"/>
        </w:rPr>
        <w:t>未能獲批傷殘津貼的受訪者在日常生活和社會參與的困難程度的得分為</w:t>
      </w:r>
      <w:r w:rsidRPr="00780C66">
        <w:rPr>
          <w:rFonts w:ascii="inherit" w:hAnsi="inherit" w:cs="新細明體"/>
          <w:color w:val="666666"/>
          <w:kern w:val="0"/>
          <w:sz w:val="20"/>
          <w:szCs w:val="20"/>
          <w:bdr w:val="none" w:sz="0" w:space="0" w:color="auto" w:frame="1"/>
        </w:rPr>
        <w:t>38.4</w:t>
      </w:r>
      <w:r w:rsidRPr="00780C66">
        <w:rPr>
          <w:rFonts w:ascii="Verdana" w:hAnsi="Verdana" w:cs="新細明體"/>
          <w:color w:val="666666"/>
          <w:kern w:val="0"/>
          <w:sz w:val="20"/>
          <w:szCs w:val="20"/>
        </w:rPr>
        <w:t>，獲發普通額傷殘津貼的受訪者在同樣範疇的得分為</w:t>
      </w:r>
      <w:r w:rsidRPr="00780C66">
        <w:rPr>
          <w:rFonts w:ascii="inherit" w:hAnsi="inherit" w:cs="新細明體"/>
          <w:color w:val="666666"/>
          <w:kern w:val="0"/>
          <w:sz w:val="20"/>
          <w:szCs w:val="20"/>
          <w:bdr w:val="none" w:sz="0" w:space="0" w:color="auto" w:frame="1"/>
        </w:rPr>
        <w:t>39.0</w:t>
      </w:r>
      <w:r w:rsidRPr="00780C66">
        <w:rPr>
          <w:rFonts w:ascii="Verdana" w:hAnsi="Verdana" w:cs="新細明體"/>
          <w:color w:val="666666"/>
          <w:kern w:val="0"/>
          <w:sz w:val="20"/>
          <w:szCs w:val="20"/>
        </w:rPr>
        <w:t>，在統計學上沒有顯著的分別</w:t>
      </w:r>
      <w:r w:rsidRPr="00780C66">
        <w:rPr>
          <w:rFonts w:ascii="inherit" w:hAnsi="inherit" w:cs="新細明體"/>
          <w:color w:val="666666"/>
          <w:kern w:val="0"/>
          <w:sz w:val="20"/>
          <w:szCs w:val="20"/>
          <w:bdr w:val="none" w:sz="0" w:space="0" w:color="auto" w:frame="1"/>
        </w:rPr>
        <w:t>(P=1.000)</w:t>
      </w:r>
      <w:r w:rsidRPr="00780C66">
        <w:rPr>
          <w:rFonts w:ascii="Verdana" w:hAnsi="Verdana" w:cs="新細明體"/>
          <w:color w:val="666666"/>
          <w:kern w:val="0"/>
          <w:sz w:val="20"/>
          <w:szCs w:val="20"/>
        </w:rPr>
        <w:t>，指出未能獲批傷殘津貼的受訪者跟成功</w:t>
      </w:r>
      <w:proofErr w:type="gramStart"/>
      <w:r w:rsidRPr="00780C66">
        <w:rPr>
          <w:rFonts w:ascii="Verdana" w:hAnsi="Verdana" w:cs="新細明體"/>
          <w:color w:val="666666"/>
          <w:kern w:val="0"/>
          <w:sz w:val="20"/>
          <w:szCs w:val="20"/>
        </w:rPr>
        <w:t>獲批者在</w:t>
      </w:r>
      <w:proofErr w:type="gramEnd"/>
      <w:r w:rsidRPr="00780C66">
        <w:rPr>
          <w:rFonts w:ascii="Verdana" w:hAnsi="Verdana" w:cs="新細明體"/>
          <w:color w:val="666666"/>
          <w:kern w:val="0"/>
          <w:sz w:val="20"/>
          <w:szCs w:val="20"/>
        </w:rPr>
        <w:t>日常生活和社會參與同樣面對中度的障礙。</w:t>
      </w:r>
    </w:p>
    <w:p w:rsidR="00780C66" w:rsidRPr="00780C66" w:rsidRDefault="00780C66" w:rsidP="00780C66">
      <w:pPr>
        <w:widowControl/>
        <w:shd w:val="clear" w:color="auto" w:fill="FFFFFF"/>
        <w:spacing w:before="204" w:after="204" w:line="336" w:lineRule="atLeast"/>
        <w:textAlignment w:val="baseline"/>
        <w:rPr>
          <w:rFonts w:ascii="Verdana" w:hAnsi="Verdana" w:cs="新細明體"/>
          <w:color w:val="666666"/>
          <w:kern w:val="0"/>
          <w:sz w:val="20"/>
          <w:szCs w:val="20"/>
        </w:rPr>
      </w:pPr>
      <w:r w:rsidRPr="00780C66">
        <w:rPr>
          <w:rFonts w:ascii="Verdana" w:hAnsi="Verdana" w:cs="新細明體"/>
          <w:color w:val="666666"/>
          <w:kern w:val="0"/>
          <w:sz w:val="20"/>
          <w:szCs w:val="20"/>
        </w:rPr>
        <w:t>在就業百份比</w:t>
      </w:r>
      <w:r w:rsidRPr="00780C66">
        <w:rPr>
          <w:rFonts w:ascii="Verdana" w:hAnsi="Verdana" w:cs="新細明體"/>
          <w:color w:val="666666"/>
          <w:kern w:val="0"/>
          <w:sz w:val="20"/>
          <w:szCs w:val="20"/>
        </w:rPr>
        <w:t>(</w:t>
      </w:r>
      <w:r w:rsidRPr="00780C66">
        <w:rPr>
          <w:rFonts w:ascii="Verdana" w:hAnsi="Verdana" w:cs="新細明體"/>
          <w:color w:val="666666"/>
          <w:kern w:val="0"/>
          <w:sz w:val="20"/>
          <w:szCs w:val="20"/>
        </w:rPr>
        <w:t>約</w:t>
      </w:r>
      <w:r w:rsidRPr="00780C66">
        <w:rPr>
          <w:rFonts w:ascii="Verdana" w:hAnsi="Verdana" w:cs="新細明體"/>
          <w:color w:val="666666"/>
          <w:kern w:val="0"/>
          <w:sz w:val="20"/>
          <w:szCs w:val="20"/>
        </w:rPr>
        <w:t>20%)</w:t>
      </w:r>
      <w:r w:rsidRPr="00780C66">
        <w:rPr>
          <w:rFonts w:ascii="Verdana" w:hAnsi="Verdana" w:cs="新細明體"/>
          <w:color w:val="666666"/>
          <w:kern w:val="0"/>
          <w:sz w:val="20"/>
          <w:szCs w:val="20"/>
        </w:rPr>
        <w:t>、工作人口之個人收入中位數</w:t>
      </w:r>
      <w:r w:rsidRPr="00780C66">
        <w:rPr>
          <w:rFonts w:ascii="Verdana" w:hAnsi="Verdana" w:cs="新細明體"/>
          <w:color w:val="666666"/>
          <w:kern w:val="0"/>
          <w:sz w:val="20"/>
          <w:szCs w:val="20"/>
        </w:rPr>
        <w:t>(</w:t>
      </w:r>
      <w:r w:rsidRPr="00780C66">
        <w:rPr>
          <w:rFonts w:ascii="Verdana" w:hAnsi="Verdana" w:cs="新細明體"/>
          <w:color w:val="666666"/>
          <w:kern w:val="0"/>
          <w:sz w:val="20"/>
          <w:szCs w:val="20"/>
        </w:rPr>
        <w:t>約</w:t>
      </w:r>
      <w:r w:rsidRPr="00780C66">
        <w:rPr>
          <w:rFonts w:ascii="Verdana" w:hAnsi="Verdana" w:cs="新細明體"/>
          <w:color w:val="666666"/>
          <w:kern w:val="0"/>
          <w:sz w:val="20"/>
          <w:szCs w:val="20"/>
        </w:rPr>
        <w:t xml:space="preserve"> $6,900)</w:t>
      </w:r>
      <w:r w:rsidRPr="00780C66">
        <w:rPr>
          <w:rFonts w:ascii="Verdana" w:hAnsi="Verdana" w:cs="新細明體"/>
          <w:color w:val="666666"/>
          <w:kern w:val="0"/>
          <w:sz w:val="20"/>
          <w:szCs w:val="20"/>
        </w:rPr>
        <w:t>及家庭收入</w:t>
      </w:r>
      <w:r w:rsidRPr="00780C66">
        <w:rPr>
          <w:rFonts w:ascii="Verdana" w:hAnsi="Verdana" w:cs="新細明體"/>
          <w:color w:val="666666"/>
          <w:kern w:val="0"/>
          <w:sz w:val="20"/>
          <w:szCs w:val="20"/>
        </w:rPr>
        <w:t>($10,000)</w:t>
      </w:r>
      <w:r w:rsidRPr="00780C66">
        <w:rPr>
          <w:rFonts w:ascii="Verdana" w:hAnsi="Verdana" w:cs="新細明體"/>
          <w:color w:val="666666"/>
          <w:kern w:val="0"/>
          <w:sz w:val="20"/>
          <w:szCs w:val="20"/>
        </w:rPr>
        <w:t>中位數方面，也是沒有顯著的分別，這顯示未能獲批傷殘津貼的受訪者跟成功</w:t>
      </w:r>
      <w:proofErr w:type="gramStart"/>
      <w:r w:rsidRPr="00780C66">
        <w:rPr>
          <w:rFonts w:ascii="Verdana" w:hAnsi="Verdana" w:cs="新細明體"/>
          <w:color w:val="666666"/>
          <w:kern w:val="0"/>
          <w:sz w:val="20"/>
          <w:szCs w:val="20"/>
        </w:rPr>
        <w:t>獲批者在</w:t>
      </w:r>
      <w:proofErr w:type="gramEnd"/>
      <w:r w:rsidRPr="00780C66">
        <w:rPr>
          <w:rFonts w:ascii="Verdana" w:hAnsi="Verdana" w:cs="新細明體"/>
          <w:color w:val="666666"/>
          <w:kern w:val="0"/>
          <w:sz w:val="20"/>
          <w:szCs w:val="20"/>
        </w:rPr>
        <w:t>多方面都是有共同特性、處境相約，但前者卻得不到支援。</w:t>
      </w:r>
    </w:p>
    <w:p w:rsidR="00780C66" w:rsidRPr="00780C66" w:rsidRDefault="00780C66" w:rsidP="00780C66">
      <w:pPr>
        <w:widowControl/>
        <w:shd w:val="clear" w:color="auto" w:fill="FFFFFF"/>
        <w:spacing w:line="336" w:lineRule="atLeast"/>
        <w:textAlignment w:val="baseline"/>
        <w:rPr>
          <w:rFonts w:ascii="Verdana" w:hAnsi="Verdana" w:cs="新細明體"/>
          <w:color w:val="666666"/>
          <w:kern w:val="0"/>
          <w:sz w:val="20"/>
          <w:szCs w:val="20"/>
        </w:rPr>
      </w:pPr>
      <w:r w:rsidRPr="00780C66">
        <w:rPr>
          <w:rFonts w:ascii="Verdana" w:hAnsi="Verdana" w:cs="新細明體"/>
          <w:color w:val="666666"/>
          <w:kern w:val="0"/>
          <w:sz w:val="20"/>
          <w:szCs w:val="20"/>
        </w:rPr>
        <w:t>對比日常健康相關的每月平均經常性支出，獲發普通額傷殘津貼的受訪者為</w:t>
      </w:r>
      <w:r w:rsidRPr="00780C66">
        <w:rPr>
          <w:rFonts w:ascii="inherit" w:hAnsi="inherit" w:cs="新細明體"/>
          <w:color w:val="666666"/>
          <w:kern w:val="0"/>
          <w:sz w:val="20"/>
          <w:szCs w:val="20"/>
          <w:bdr w:val="none" w:sz="0" w:space="0" w:color="auto" w:frame="1"/>
        </w:rPr>
        <w:t>1,700</w:t>
      </w:r>
      <w:r w:rsidRPr="00780C66">
        <w:rPr>
          <w:rFonts w:ascii="Verdana" w:hAnsi="Verdana" w:cs="新細明體"/>
          <w:color w:val="666666"/>
          <w:kern w:val="0"/>
          <w:sz w:val="20"/>
          <w:szCs w:val="20"/>
        </w:rPr>
        <w:t>元，然而未能獲批傷殘津貼的受訪者每月平均支出則高達</w:t>
      </w:r>
      <w:r w:rsidRPr="00780C66">
        <w:rPr>
          <w:rFonts w:ascii="inherit" w:hAnsi="inherit" w:cs="新細明體"/>
          <w:color w:val="666666"/>
          <w:kern w:val="0"/>
          <w:sz w:val="20"/>
          <w:szCs w:val="20"/>
          <w:bdr w:val="none" w:sz="0" w:space="0" w:color="auto" w:frame="1"/>
        </w:rPr>
        <w:t>2,100</w:t>
      </w:r>
      <w:r w:rsidRPr="00780C66">
        <w:rPr>
          <w:rFonts w:ascii="Verdana" w:hAnsi="Verdana" w:cs="新細明體"/>
          <w:color w:val="666666"/>
          <w:kern w:val="0"/>
          <w:sz w:val="20"/>
          <w:szCs w:val="20"/>
        </w:rPr>
        <w:t>元，統計學上有顯著的分別</w:t>
      </w:r>
      <w:r w:rsidRPr="00780C66">
        <w:rPr>
          <w:rFonts w:ascii="inherit" w:hAnsi="inherit" w:cs="新細明體"/>
          <w:color w:val="666666"/>
          <w:kern w:val="0"/>
          <w:sz w:val="20"/>
          <w:szCs w:val="20"/>
          <w:bdr w:val="none" w:sz="0" w:space="0" w:color="auto" w:frame="1"/>
        </w:rPr>
        <w:t>(P=0.014)</w:t>
      </w:r>
      <w:r w:rsidRPr="00780C66">
        <w:rPr>
          <w:rFonts w:ascii="Verdana" w:hAnsi="Verdana" w:cs="新細明體"/>
          <w:color w:val="666666"/>
          <w:kern w:val="0"/>
          <w:sz w:val="20"/>
          <w:szCs w:val="20"/>
        </w:rPr>
        <w:t>，這表示現時未能領取傷殘津貼的人士，他們不但未得到合適的傷殘津貼援助，而正承擔著更大的醫療開支。</w:t>
      </w:r>
    </w:p>
    <w:p w:rsidR="00780C66" w:rsidRPr="00780C66" w:rsidRDefault="00780C66" w:rsidP="00780C66">
      <w:pPr>
        <w:widowControl/>
        <w:shd w:val="clear" w:color="auto" w:fill="FFFFFF"/>
        <w:spacing w:line="336" w:lineRule="atLeast"/>
        <w:textAlignment w:val="baseline"/>
        <w:rPr>
          <w:rFonts w:ascii="Verdana" w:hAnsi="Verdana" w:cs="新細明體"/>
          <w:color w:val="666666"/>
          <w:kern w:val="0"/>
          <w:sz w:val="20"/>
          <w:szCs w:val="20"/>
        </w:rPr>
      </w:pPr>
      <w:r w:rsidRPr="00780C66">
        <w:rPr>
          <w:rFonts w:ascii="Verdana" w:hAnsi="Verdana" w:cs="新細明體"/>
          <w:color w:val="666666"/>
          <w:kern w:val="0"/>
          <w:sz w:val="20"/>
          <w:szCs w:val="20"/>
        </w:rPr>
        <w:t>可見，現時傷殘津貼制度未能有效協助有需要之殘疾人士和長期病患者，</w:t>
      </w:r>
      <w:proofErr w:type="gramStart"/>
      <w:r w:rsidRPr="00780C66">
        <w:rPr>
          <w:rFonts w:ascii="Verdana" w:hAnsi="Verdana" w:cs="新細明體"/>
          <w:color w:val="666666"/>
          <w:kern w:val="0"/>
          <w:sz w:val="20"/>
          <w:szCs w:val="20"/>
        </w:rPr>
        <w:t>與傷津審批</w:t>
      </w:r>
      <w:proofErr w:type="gramEnd"/>
      <w:r w:rsidRPr="00780C66">
        <w:rPr>
          <w:rFonts w:ascii="Verdana" w:hAnsi="Verdana" w:cs="新細明體"/>
          <w:color w:val="666666"/>
          <w:kern w:val="0"/>
          <w:sz w:val="20"/>
          <w:szCs w:val="20"/>
        </w:rPr>
        <w:t>的機制有不可分割的關係，包括對嚴重殘疾的定義、</w:t>
      </w:r>
      <w:r w:rsidRPr="00780C66">
        <w:rPr>
          <w:rFonts w:ascii="inherit" w:hAnsi="inherit" w:cs="新細明體"/>
          <w:color w:val="666666"/>
          <w:kern w:val="0"/>
          <w:sz w:val="20"/>
          <w:szCs w:val="20"/>
          <w:bdr w:val="none" w:sz="0" w:space="0" w:color="auto" w:frame="1"/>
        </w:rPr>
        <w:t>100%</w:t>
      </w:r>
      <w:r w:rsidRPr="00780C66">
        <w:rPr>
          <w:rFonts w:ascii="Verdana" w:hAnsi="Verdana" w:cs="新細明體"/>
          <w:color w:val="666666"/>
          <w:kern w:val="0"/>
          <w:sz w:val="20"/>
          <w:szCs w:val="20"/>
        </w:rPr>
        <w:t>謀生能力完全掛勾、不同醫生審批不一及沒有考慮殘疾對申請人的生活和其他範疇的影響等。</w:t>
      </w:r>
    </w:p>
    <w:p w:rsidR="00780C66" w:rsidRPr="00780C66" w:rsidRDefault="00780C66" w:rsidP="00780C66">
      <w:pPr>
        <w:widowControl/>
        <w:shd w:val="clear" w:color="auto" w:fill="FFFFFF"/>
        <w:spacing w:before="204" w:after="204" w:line="336" w:lineRule="atLeast"/>
        <w:textAlignment w:val="baseline"/>
        <w:rPr>
          <w:rFonts w:ascii="Verdana" w:hAnsi="Verdana" w:cs="新細明體"/>
          <w:color w:val="666666"/>
          <w:kern w:val="0"/>
          <w:sz w:val="20"/>
          <w:szCs w:val="20"/>
        </w:rPr>
      </w:pPr>
      <w:r w:rsidRPr="00780C66">
        <w:rPr>
          <w:rFonts w:ascii="Verdana" w:hAnsi="Verdana" w:cs="新細明體"/>
          <w:color w:val="666666"/>
          <w:kern w:val="0"/>
          <w:sz w:val="20"/>
          <w:szCs w:val="20"/>
        </w:rPr>
        <w:t>討論及建議</w:t>
      </w:r>
    </w:p>
    <w:p w:rsidR="00780C66" w:rsidRPr="00780C66" w:rsidRDefault="00780C66" w:rsidP="00780C66">
      <w:pPr>
        <w:widowControl/>
        <w:numPr>
          <w:ilvl w:val="0"/>
          <w:numId w:val="6"/>
        </w:numPr>
        <w:shd w:val="clear" w:color="auto" w:fill="FFFFFF"/>
        <w:spacing w:line="336" w:lineRule="atLeast"/>
        <w:ind w:left="444" w:firstLine="0"/>
        <w:textAlignment w:val="baseline"/>
        <w:rPr>
          <w:rFonts w:ascii="inherit" w:hAnsi="inherit" w:cs="新細明體"/>
          <w:color w:val="666666"/>
          <w:kern w:val="0"/>
          <w:sz w:val="20"/>
          <w:szCs w:val="20"/>
        </w:rPr>
      </w:pPr>
      <w:r w:rsidRPr="00780C66">
        <w:rPr>
          <w:rFonts w:ascii="inherit" w:hAnsi="inherit" w:cs="新細明體"/>
          <w:color w:val="666666"/>
          <w:kern w:val="0"/>
          <w:sz w:val="20"/>
          <w:szCs w:val="20"/>
        </w:rPr>
        <w:t>貧窮</w:t>
      </w:r>
    </w:p>
    <w:p w:rsidR="00780C66" w:rsidRPr="00780C66" w:rsidRDefault="00780C66" w:rsidP="00780C66">
      <w:pPr>
        <w:widowControl/>
        <w:shd w:val="clear" w:color="auto" w:fill="FFFFFF"/>
        <w:spacing w:before="204" w:after="204" w:line="336" w:lineRule="atLeast"/>
        <w:textAlignment w:val="baseline"/>
        <w:rPr>
          <w:rFonts w:ascii="Verdana" w:hAnsi="Verdana" w:cs="新細明體"/>
          <w:color w:val="666666"/>
          <w:kern w:val="0"/>
          <w:sz w:val="20"/>
          <w:szCs w:val="20"/>
        </w:rPr>
      </w:pPr>
      <w:r w:rsidRPr="00780C66">
        <w:rPr>
          <w:rFonts w:ascii="Verdana" w:hAnsi="Verdana" w:cs="新細明體"/>
          <w:color w:val="666666"/>
          <w:kern w:val="0"/>
          <w:sz w:val="20"/>
          <w:szCs w:val="20"/>
        </w:rPr>
        <w:t>殘疾人士及長期病患者失業率高，在職者個人收入偏低，承受沉重的健康相關的支出的負擔。</w:t>
      </w:r>
    </w:p>
    <w:p w:rsidR="00780C66" w:rsidRPr="00780C66" w:rsidRDefault="00780C66" w:rsidP="00780C66">
      <w:pPr>
        <w:widowControl/>
        <w:shd w:val="clear" w:color="auto" w:fill="FFFFFF"/>
        <w:spacing w:before="204" w:after="204" w:line="336" w:lineRule="atLeast"/>
        <w:textAlignment w:val="baseline"/>
        <w:rPr>
          <w:rFonts w:ascii="Verdana" w:hAnsi="Verdana" w:cs="新細明體"/>
          <w:color w:val="666666"/>
          <w:kern w:val="0"/>
          <w:sz w:val="20"/>
          <w:szCs w:val="20"/>
        </w:rPr>
      </w:pPr>
      <w:r w:rsidRPr="00780C66">
        <w:rPr>
          <w:rFonts w:ascii="Verdana" w:hAnsi="Verdana" w:cs="新細明體"/>
          <w:color w:val="666666"/>
          <w:kern w:val="0"/>
          <w:sz w:val="20"/>
          <w:szCs w:val="20"/>
        </w:rPr>
        <w:t>整體來說，現時一半的殘疾人士及長期病患者生活在貧窮線下。故政府應深入了解及正視殘疾人士和貧窮的問題。而他們的家庭收入亦低於香港整體家庭收入，容易造成在職貧窮、貧窮家庭、</w:t>
      </w:r>
      <w:proofErr w:type="gramStart"/>
      <w:r w:rsidRPr="00780C66">
        <w:rPr>
          <w:rFonts w:ascii="Verdana" w:hAnsi="Verdana" w:cs="新細明體"/>
          <w:color w:val="666666"/>
          <w:kern w:val="0"/>
          <w:sz w:val="20"/>
          <w:szCs w:val="20"/>
        </w:rPr>
        <w:t>甚至跨代貧窮</w:t>
      </w:r>
      <w:proofErr w:type="gramEnd"/>
      <w:r w:rsidRPr="00780C66">
        <w:rPr>
          <w:rFonts w:ascii="Verdana" w:hAnsi="Verdana" w:cs="新細明體"/>
          <w:color w:val="666666"/>
          <w:kern w:val="0"/>
          <w:sz w:val="20"/>
          <w:szCs w:val="20"/>
        </w:rPr>
        <w:t>的惡性循環，影響他們和家人甚至是下一代在社會的流動性。</w:t>
      </w:r>
    </w:p>
    <w:p w:rsidR="00780C66" w:rsidRPr="00780C66" w:rsidRDefault="00780C66" w:rsidP="00780C66">
      <w:pPr>
        <w:widowControl/>
        <w:shd w:val="clear" w:color="auto" w:fill="FFFFFF"/>
        <w:spacing w:before="204" w:after="204" w:line="336" w:lineRule="atLeast"/>
        <w:textAlignment w:val="baseline"/>
        <w:rPr>
          <w:rFonts w:ascii="Verdana" w:hAnsi="Verdana" w:cs="新細明體"/>
          <w:color w:val="666666"/>
          <w:kern w:val="0"/>
          <w:sz w:val="20"/>
          <w:szCs w:val="20"/>
        </w:rPr>
      </w:pPr>
      <w:r w:rsidRPr="00780C66">
        <w:rPr>
          <w:rFonts w:ascii="Verdana" w:hAnsi="Verdana" w:cs="新細明體"/>
          <w:color w:val="666666"/>
          <w:kern w:val="0"/>
          <w:sz w:val="20"/>
          <w:szCs w:val="20"/>
        </w:rPr>
        <w:t>很多有需要之人士也未能成功獲批傷殘津貼，現時傷殘津貼制度亦失效，未能達至協助殘疾人士，造成</w:t>
      </w:r>
      <w:proofErr w:type="gramStart"/>
      <w:r w:rsidRPr="00780C66">
        <w:rPr>
          <w:rFonts w:ascii="Verdana" w:hAnsi="Verdana" w:cs="新細明體"/>
          <w:color w:val="666666"/>
          <w:kern w:val="0"/>
          <w:sz w:val="20"/>
          <w:szCs w:val="20"/>
        </w:rPr>
        <w:t>他們貧病交</w:t>
      </w:r>
      <w:proofErr w:type="gramEnd"/>
      <w:r w:rsidRPr="00780C66">
        <w:rPr>
          <w:rFonts w:ascii="Verdana" w:hAnsi="Verdana" w:cs="新細明體"/>
          <w:color w:val="666666"/>
          <w:kern w:val="0"/>
          <w:sz w:val="20"/>
          <w:szCs w:val="20"/>
        </w:rPr>
        <w:t>逼，處境困難。</w:t>
      </w:r>
    </w:p>
    <w:p w:rsidR="00780C66" w:rsidRPr="00780C66" w:rsidRDefault="00780C66" w:rsidP="00780C66">
      <w:pPr>
        <w:widowControl/>
        <w:shd w:val="clear" w:color="auto" w:fill="FFFFFF"/>
        <w:spacing w:before="204" w:after="204" w:line="336" w:lineRule="atLeast"/>
        <w:textAlignment w:val="baseline"/>
        <w:rPr>
          <w:rFonts w:ascii="Verdana" w:hAnsi="Verdana" w:cs="新細明體"/>
          <w:color w:val="666666"/>
          <w:kern w:val="0"/>
          <w:sz w:val="20"/>
          <w:szCs w:val="20"/>
        </w:rPr>
      </w:pPr>
      <w:r w:rsidRPr="00780C66">
        <w:rPr>
          <w:rFonts w:ascii="Verdana" w:hAnsi="Verdana" w:cs="新細明體"/>
          <w:color w:val="666666"/>
          <w:kern w:val="0"/>
          <w:sz w:val="20"/>
          <w:szCs w:val="20"/>
        </w:rPr>
        <w:t>故此，聯席</w:t>
      </w:r>
      <w:proofErr w:type="gramStart"/>
      <w:r w:rsidRPr="00780C66">
        <w:rPr>
          <w:rFonts w:ascii="Verdana" w:hAnsi="Verdana" w:cs="新細明體"/>
          <w:color w:val="666666"/>
          <w:kern w:val="0"/>
          <w:sz w:val="20"/>
          <w:szCs w:val="20"/>
        </w:rPr>
        <w:t>促請促扶貧</w:t>
      </w:r>
      <w:proofErr w:type="gramEnd"/>
      <w:r w:rsidRPr="00780C66">
        <w:rPr>
          <w:rFonts w:ascii="Verdana" w:hAnsi="Verdana" w:cs="新細明體"/>
          <w:color w:val="666666"/>
          <w:kern w:val="0"/>
          <w:sz w:val="20"/>
          <w:szCs w:val="20"/>
        </w:rPr>
        <w:t>委員會制定長遠之措施關注殘疾人士及長期病患者的貧窮問題，以達至</w:t>
      </w:r>
      <w:proofErr w:type="gramStart"/>
      <w:r w:rsidRPr="00780C66">
        <w:rPr>
          <w:rFonts w:ascii="Verdana" w:hAnsi="Verdana" w:cs="新細明體"/>
          <w:color w:val="666666"/>
          <w:kern w:val="0"/>
          <w:sz w:val="20"/>
          <w:szCs w:val="20"/>
        </w:rPr>
        <w:t>滅貧、防貧和扶</w:t>
      </w:r>
      <w:proofErr w:type="gramEnd"/>
      <w:r w:rsidRPr="00780C66">
        <w:rPr>
          <w:rFonts w:ascii="Verdana" w:hAnsi="Verdana" w:cs="新細明體"/>
          <w:color w:val="666666"/>
          <w:kern w:val="0"/>
          <w:sz w:val="20"/>
          <w:szCs w:val="20"/>
        </w:rPr>
        <w:t>貧，保障他們的過著有尊嚴的生活。</w:t>
      </w:r>
    </w:p>
    <w:p w:rsidR="00780C66" w:rsidRPr="00780C66" w:rsidRDefault="00780C66" w:rsidP="00780C66">
      <w:pPr>
        <w:widowControl/>
        <w:numPr>
          <w:ilvl w:val="0"/>
          <w:numId w:val="7"/>
        </w:numPr>
        <w:shd w:val="clear" w:color="auto" w:fill="FFFFFF"/>
        <w:spacing w:line="336" w:lineRule="atLeast"/>
        <w:ind w:left="444" w:firstLine="0"/>
        <w:textAlignment w:val="baseline"/>
        <w:rPr>
          <w:rFonts w:ascii="inherit" w:hAnsi="inherit" w:cs="新細明體"/>
          <w:color w:val="666666"/>
          <w:kern w:val="0"/>
          <w:sz w:val="20"/>
          <w:szCs w:val="20"/>
        </w:rPr>
      </w:pPr>
      <w:r w:rsidRPr="00780C66">
        <w:rPr>
          <w:rFonts w:ascii="inherit" w:hAnsi="inherit" w:cs="新細明體"/>
          <w:color w:val="666666"/>
          <w:kern w:val="0"/>
          <w:sz w:val="20"/>
          <w:szCs w:val="20"/>
        </w:rPr>
        <w:t>失業</w:t>
      </w:r>
    </w:p>
    <w:p w:rsidR="00780C66" w:rsidRPr="00780C66" w:rsidRDefault="00780C66" w:rsidP="00780C66">
      <w:pPr>
        <w:widowControl/>
        <w:shd w:val="clear" w:color="auto" w:fill="FFFFFF"/>
        <w:spacing w:before="204" w:after="204" w:line="336" w:lineRule="atLeast"/>
        <w:textAlignment w:val="baseline"/>
        <w:rPr>
          <w:rFonts w:ascii="Verdana" w:hAnsi="Verdana" w:cs="新細明體"/>
          <w:color w:val="666666"/>
          <w:kern w:val="0"/>
          <w:sz w:val="20"/>
          <w:szCs w:val="20"/>
        </w:rPr>
      </w:pPr>
      <w:r w:rsidRPr="00780C66">
        <w:rPr>
          <w:rFonts w:ascii="Verdana" w:hAnsi="Verdana" w:cs="新細明體"/>
          <w:color w:val="666666"/>
          <w:kern w:val="0"/>
          <w:sz w:val="20"/>
          <w:szCs w:val="20"/>
        </w:rPr>
        <w:t>就業方面，由於殘疾人士和長期病患者在身體上有不同的限制，他們面對不同的就業困難，富彈性和多樣化的工種才能配合他們的需要而發揮他們的所長，故促請扶貧委員會之社會創新及創業發展基金專責小組及各培訓之單位能與不同的</w:t>
      </w:r>
      <w:proofErr w:type="gramStart"/>
      <w:r w:rsidRPr="00780C66">
        <w:rPr>
          <w:rFonts w:ascii="Verdana" w:hAnsi="Verdana" w:cs="新細明體"/>
          <w:color w:val="666666"/>
          <w:kern w:val="0"/>
          <w:sz w:val="20"/>
          <w:szCs w:val="20"/>
        </w:rPr>
        <w:t>持份者合力</w:t>
      </w:r>
      <w:proofErr w:type="gramEnd"/>
      <w:r w:rsidRPr="00780C66">
        <w:rPr>
          <w:rFonts w:ascii="Verdana" w:hAnsi="Verdana" w:cs="新細明體"/>
          <w:color w:val="666666"/>
          <w:kern w:val="0"/>
          <w:sz w:val="20"/>
          <w:szCs w:val="20"/>
        </w:rPr>
        <w:t>打造新的工作模式予殘疾人士和長期病患者，提高其就業的機會。</w:t>
      </w:r>
    </w:p>
    <w:p w:rsidR="00780C66" w:rsidRPr="00780C66" w:rsidRDefault="00780C66" w:rsidP="00780C66">
      <w:pPr>
        <w:widowControl/>
        <w:shd w:val="clear" w:color="auto" w:fill="FFFFFF"/>
        <w:spacing w:before="204" w:after="204" w:line="336" w:lineRule="atLeast"/>
        <w:textAlignment w:val="baseline"/>
        <w:rPr>
          <w:rFonts w:ascii="Verdana" w:hAnsi="Verdana" w:cs="新細明體"/>
          <w:color w:val="666666"/>
          <w:kern w:val="0"/>
          <w:sz w:val="20"/>
          <w:szCs w:val="20"/>
        </w:rPr>
      </w:pPr>
      <w:r w:rsidRPr="00780C66">
        <w:rPr>
          <w:rFonts w:ascii="Verdana" w:hAnsi="Verdana" w:cs="新細明體"/>
          <w:color w:val="666666"/>
          <w:kern w:val="0"/>
          <w:sz w:val="20"/>
          <w:szCs w:val="20"/>
        </w:rPr>
        <w:t>政府亦應長遠考慮措施如政府帶頭聘用殘疾人士、立法規定配額制度、建立有效的僱用指標，與及推行稅務優惠等。</w:t>
      </w:r>
    </w:p>
    <w:p w:rsidR="00780C66" w:rsidRPr="00780C66" w:rsidRDefault="00780C66" w:rsidP="00780C66">
      <w:pPr>
        <w:widowControl/>
        <w:numPr>
          <w:ilvl w:val="0"/>
          <w:numId w:val="8"/>
        </w:numPr>
        <w:shd w:val="clear" w:color="auto" w:fill="FFFFFF"/>
        <w:spacing w:line="336" w:lineRule="atLeast"/>
        <w:ind w:left="444" w:firstLine="0"/>
        <w:textAlignment w:val="baseline"/>
        <w:rPr>
          <w:rFonts w:ascii="inherit" w:hAnsi="inherit" w:cs="新細明體"/>
          <w:color w:val="666666"/>
          <w:kern w:val="0"/>
          <w:sz w:val="20"/>
          <w:szCs w:val="20"/>
        </w:rPr>
      </w:pPr>
      <w:r w:rsidRPr="00780C66">
        <w:rPr>
          <w:rFonts w:ascii="inherit" w:hAnsi="inherit" w:cs="新細明體"/>
          <w:color w:val="666666"/>
          <w:kern w:val="0"/>
          <w:sz w:val="20"/>
          <w:szCs w:val="20"/>
        </w:rPr>
        <w:t>傷殘津貼</w:t>
      </w:r>
    </w:p>
    <w:p w:rsidR="00780C66" w:rsidRPr="00780C66" w:rsidRDefault="00780C66" w:rsidP="00780C66">
      <w:pPr>
        <w:widowControl/>
        <w:shd w:val="clear" w:color="auto" w:fill="FFFFFF"/>
        <w:spacing w:line="336" w:lineRule="atLeast"/>
        <w:textAlignment w:val="baseline"/>
        <w:rPr>
          <w:rFonts w:ascii="Verdana" w:hAnsi="Verdana" w:cs="新細明體"/>
          <w:color w:val="666666"/>
          <w:kern w:val="0"/>
          <w:sz w:val="20"/>
          <w:szCs w:val="20"/>
        </w:rPr>
      </w:pPr>
      <w:r w:rsidRPr="00780C66">
        <w:rPr>
          <w:rFonts w:ascii="Verdana" w:hAnsi="Verdana" w:cs="新細明體"/>
          <w:color w:val="666666"/>
          <w:kern w:val="0"/>
          <w:sz w:val="20"/>
          <w:szCs w:val="20"/>
        </w:rPr>
        <w:lastRenderedPageBreak/>
        <w:t>傷殘津貼是特區政府為對殘疾人士和長期病患者提供的社會保障之一個重要措施，然而經歷</w:t>
      </w:r>
      <w:r w:rsidRPr="00780C66">
        <w:rPr>
          <w:rFonts w:ascii="inherit" w:hAnsi="inherit" w:cs="新細明體"/>
          <w:color w:val="666666"/>
          <w:kern w:val="0"/>
          <w:sz w:val="20"/>
          <w:szCs w:val="20"/>
          <w:bdr w:val="none" w:sz="0" w:space="0" w:color="auto" w:frame="1"/>
        </w:rPr>
        <w:t>40</w:t>
      </w:r>
      <w:r w:rsidRPr="00780C66">
        <w:rPr>
          <w:rFonts w:ascii="Verdana" w:hAnsi="Verdana" w:cs="新細明體"/>
          <w:color w:val="666666"/>
          <w:kern w:val="0"/>
          <w:sz w:val="20"/>
          <w:szCs w:val="20"/>
        </w:rPr>
        <w:t>多年，此制度而不能與時並進，亦已失效，出現嚴重裂縫。除了本調查反映了有需要之人士也未能成功審批外，申訴專員公署、平等機會委員會、殘疾人權委員會及立法會福利事務委員會已分別指出現時傷殘津貼制度的</w:t>
      </w:r>
      <w:proofErr w:type="gramStart"/>
      <w:r w:rsidRPr="00780C66">
        <w:rPr>
          <w:rFonts w:ascii="Verdana" w:hAnsi="Verdana" w:cs="新細明體"/>
          <w:color w:val="666666"/>
          <w:kern w:val="0"/>
          <w:sz w:val="20"/>
          <w:szCs w:val="20"/>
        </w:rPr>
        <w:t>千蒼百孔</w:t>
      </w:r>
      <w:proofErr w:type="gramEnd"/>
      <w:r w:rsidRPr="00780C66">
        <w:rPr>
          <w:rFonts w:ascii="Verdana" w:hAnsi="Verdana" w:cs="新細明體"/>
          <w:color w:val="666666"/>
          <w:kern w:val="0"/>
          <w:sz w:val="20"/>
          <w:szCs w:val="20"/>
        </w:rPr>
        <w:t>，不同政策部門及署方沿用之殘疾定義一直被指欠缺一致性、傷殘津貼門檻偏高、個別醫生評估標準不一、醫生難以判斷謀生能力的非醫療範疇等，</w:t>
      </w:r>
      <w:proofErr w:type="gramStart"/>
      <w:r w:rsidRPr="00780C66">
        <w:rPr>
          <w:rFonts w:ascii="Verdana" w:hAnsi="Verdana" w:cs="新細明體"/>
          <w:color w:val="666666"/>
          <w:kern w:val="0"/>
          <w:sz w:val="20"/>
          <w:szCs w:val="20"/>
        </w:rPr>
        <w:t>勞福局及扶</w:t>
      </w:r>
      <w:proofErr w:type="gramEnd"/>
      <w:r w:rsidRPr="00780C66">
        <w:rPr>
          <w:rFonts w:ascii="Verdana" w:hAnsi="Verdana" w:cs="新細明體"/>
          <w:color w:val="666666"/>
          <w:kern w:val="0"/>
          <w:sz w:val="20"/>
          <w:szCs w:val="20"/>
        </w:rPr>
        <w:t>貧委員會</w:t>
      </w:r>
      <w:r w:rsidRPr="00780C66">
        <w:rPr>
          <w:rFonts w:ascii="inherit" w:hAnsi="inherit" w:cs="新細明體"/>
          <w:color w:val="666666"/>
          <w:kern w:val="0"/>
          <w:sz w:val="20"/>
        </w:rPr>
        <w:t> </w:t>
      </w:r>
      <w:r w:rsidRPr="00780C66">
        <w:rPr>
          <w:rFonts w:ascii="inherit" w:hAnsi="inherit" w:cs="新細明體"/>
          <w:color w:val="666666"/>
          <w:kern w:val="0"/>
          <w:sz w:val="20"/>
          <w:szCs w:val="20"/>
          <w:bdr w:val="none" w:sz="0" w:space="0" w:color="auto" w:frame="1"/>
        </w:rPr>
        <w:t>(</w:t>
      </w:r>
      <w:r w:rsidRPr="00780C66">
        <w:rPr>
          <w:rFonts w:ascii="Verdana" w:hAnsi="Verdana" w:cs="新細明體"/>
          <w:color w:val="666666"/>
          <w:kern w:val="0"/>
          <w:sz w:val="20"/>
          <w:szCs w:val="20"/>
        </w:rPr>
        <w:t>及其轄下之特別需要社群專責小組、社會保障和退休保障專責小組等</w:t>
      </w:r>
      <w:r w:rsidRPr="00780C66">
        <w:rPr>
          <w:rFonts w:ascii="Verdana" w:hAnsi="Verdana" w:cs="新細明體"/>
          <w:color w:val="666666"/>
          <w:kern w:val="0"/>
          <w:sz w:val="20"/>
          <w:szCs w:val="20"/>
        </w:rPr>
        <w:t>)</w:t>
      </w:r>
      <w:r w:rsidRPr="00780C66">
        <w:rPr>
          <w:rFonts w:ascii="Verdana" w:hAnsi="Verdana" w:cs="新細明體"/>
          <w:color w:val="666666"/>
          <w:kern w:val="0"/>
          <w:sz w:val="20"/>
          <w:szCs w:val="20"/>
        </w:rPr>
        <w:t>應切實回應處理社會的訴求，全面檢討相關之政策和執行情況，特別是剔除按據僱員補償條例，喪失</w:t>
      </w:r>
      <w:r w:rsidRPr="00780C66">
        <w:rPr>
          <w:rFonts w:ascii="inherit" w:hAnsi="inherit" w:cs="新細明體"/>
          <w:color w:val="666666"/>
          <w:kern w:val="0"/>
          <w:sz w:val="20"/>
          <w:szCs w:val="20"/>
          <w:bdr w:val="none" w:sz="0" w:space="0" w:color="auto" w:frame="1"/>
        </w:rPr>
        <w:t>100%</w:t>
      </w:r>
      <w:r w:rsidRPr="00780C66">
        <w:rPr>
          <w:rFonts w:ascii="Verdana" w:hAnsi="Verdana" w:cs="新細明體"/>
          <w:color w:val="666666"/>
          <w:kern w:val="0"/>
          <w:sz w:val="20"/>
          <w:szCs w:val="20"/>
        </w:rPr>
        <w:t>謀生能力作為指引，而引入其他有效客觀和全面之殘疾評估方案，為殘疾人士和長期病患者提供適切的協助。</w:t>
      </w:r>
    </w:p>
    <w:p w:rsidR="00780C66" w:rsidRPr="00780C66" w:rsidRDefault="00780C66" w:rsidP="00780C66">
      <w:pPr>
        <w:widowControl/>
        <w:shd w:val="clear" w:color="auto" w:fill="FFFFFF"/>
        <w:spacing w:line="336" w:lineRule="atLeast"/>
        <w:textAlignment w:val="baseline"/>
        <w:rPr>
          <w:rFonts w:ascii="Verdana" w:hAnsi="Verdana" w:cs="新細明體"/>
          <w:color w:val="666666"/>
          <w:kern w:val="0"/>
          <w:sz w:val="20"/>
          <w:szCs w:val="20"/>
        </w:rPr>
      </w:pPr>
      <w:proofErr w:type="gramStart"/>
      <w:r w:rsidRPr="00780C66">
        <w:rPr>
          <w:rFonts w:ascii="Verdana" w:hAnsi="Verdana" w:cs="新細明體"/>
          <w:color w:val="666666"/>
          <w:kern w:val="0"/>
          <w:sz w:val="20"/>
          <w:szCs w:val="20"/>
        </w:rPr>
        <w:t>此外，</w:t>
      </w:r>
      <w:proofErr w:type="gramEnd"/>
      <w:r w:rsidRPr="00780C66">
        <w:rPr>
          <w:rFonts w:ascii="Verdana" w:hAnsi="Verdana" w:cs="新細明體"/>
          <w:color w:val="666666"/>
          <w:kern w:val="0"/>
          <w:sz w:val="20"/>
          <w:szCs w:val="20"/>
        </w:rPr>
        <w:t>研究顯示殘疾人士和長期病患者每月平均有關健康的經常性和非經常性開支約共</w:t>
      </w:r>
      <w:r w:rsidRPr="00780C66">
        <w:rPr>
          <w:rFonts w:ascii="inherit" w:hAnsi="inherit" w:cs="新細明體"/>
          <w:color w:val="666666"/>
          <w:kern w:val="0"/>
          <w:sz w:val="20"/>
        </w:rPr>
        <w:t> </w:t>
      </w:r>
      <w:r w:rsidRPr="00780C66">
        <w:rPr>
          <w:rFonts w:ascii="inherit" w:hAnsi="inherit" w:cs="新細明體"/>
          <w:color w:val="666666"/>
          <w:kern w:val="0"/>
          <w:sz w:val="20"/>
          <w:szCs w:val="20"/>
          <w:bdr w:val="none" w:sz="0" w:space="0" w:color="auto" w:frame="1"/>
        </w:rPr>
        <w:t>2,500</w:t>
      </w:r>
      <w:r w:rsidRPr="00780C66">
        <w:rPr>
          <w:rFonts w:ascii="Verdana" w:hAnsi="Verdana" w:cs="新細明體"/>
          <w:color w:val="666666"/>
          <w:kern w:val="0"/>
          <w:sz w:val="20"/>
          <w:szCs w:val="20"/>
        </w:rPr>
        <w:t>元，開支龐大，即使是有領取普通及高額傷殘津貼，也不能抵銷有關開支。建議勞工及福利</w:t>
      </w:r>
      <w:proofErr w:type="gramStart"/>
      <w:r w:rsidRPr="00780C66">
        <w:rPr>
          <w:rFonts w:ascii="Verdana" w:hAnsi="Verdana" w:cs="新細明體"/>
          <w:color w:val="666666"/>
          <w:kern w:val="0"/>
          <w:sz w:val="20"/>
          <w:szCs w:val="20"/>
        </w:rPr>
        <w:t>局及扶貧</w:t>
      </w:r>
      <w:proofErr w:type="gramEnd"/>
      <w:r w:rsidRPr="00780C66">
        <w:rPr>
          <w:rFonts w:ascii="Verdana" w:hAnsi="Verdana" w:cs="新細明體"/>
          <w:color w:val="666666"/>
          <w:kern w:val="0"/>
          <w:sz w:val="20"/>
          <w:szCs w:val="20"/>
        </w:rPr>
        <w:t>委員會之有關工作小組應調整傷殘津貼之金額調高至合理水平，協助他們渡過難關。</w:t>
      </w:r>
    </w:p>
    <w:p w:rsidR="00780C66" w:rsidRPr="00780C66" w:rsidRDefault="00780C66" w:rsidP="00780C66">
      <w:pPr>
        <w:widowControl/>
        <w:shd w:val="clear" w:color="auto" w:fill="FFFFFF"/>
        <w:spacing w:before="204" w:after="204" w:line="336" w:lineRule="atLeast"/>
        <w:textAlignment w:val="baseline"/>
        <w:rPr>
          <w:rFonts w:ascii="Verdana" w:hAnsi="Verdana" w:cs="新細明體"/>
          <w:color w:val="666666"/>
          <w:kern w:val="0"/>
          <w:sz w:val="20"/>
          <w:szCs w:val="20"/>
        </w:rPr>
      </w:pPr>
      <w:r w:rsidRPr="00780C66">
        <w:rPr>
          <w:rFonts w:ascii="Verdana" w:hAnsi="Verdana" w:cs="新細明體"/>
          <w:color w:val="666666"/>
          <w:kern w:val="0"/>
          <w:sz w:val="20"/>
          <w:szCs w:val="20"/>
        </w:rPr>
        <w:t>最後，政府亦應考慮外國不同做法，如傷殘保險制度、容許殘疾人士和長期病患者以</w:t>
      </w:r>
      <w:proofErr w:type="gramStart"/>
      <w:r w:rsidRPr="00780C66">
        <w:rPr>
          <w:rFonts w:ascii="Verdana" w:hAnsi="Verdana" w:cs="新細明體"/>
          <w:color w:val="666666"/>
          <w:kern w:val="0"/>
          <w:sz w:val="20"/>
          <w:szCs w:val="20"/>
        </w:rPr>
        <w:t>個</w:t>
      </w:r>
      <w:proofErr w:type="gramEnd"/>
      <w:r w:rsidRPr="00780C66">
        <w:rPr>
          <w:rFonts w:ascii="Verdana" w:hAnsi="Verdana" w:cs="新細明體"/>
          <w:color w:val="666666"/>
          <w:kern w:val="0"/>
          <w:sz w:val="20"/>
          <w:szCs w:val="20"/>
        </w:rPr>
        <w:t>人為名義申請傷殘津貼或保險等。</w:t>
      </w:r>
    </w:p>
    <w:p w:rsidR="002214BE" w:rsidRPr="00780C66" w:rsidRDefault="002214BE"/>
    <w:sectPr w:rsidR="002214BE" w:rsidRPr="00780C66" w:rsidSect="002214BE">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91E18"/>
    <w:multiLevelType w:val="multilevel"/>
    <w:tmpl w:val="7CC64F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521CA6"/>
    <w:multiLevelType w:val="multilevel"/>
    <w:tmpl w:val="80F47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EF0727"/>
    <w:multiLevelType w:val="multilevel"/>
    <w:tmpl w:val="398AD9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173C35"/>
    <w:multiLevelType w:val="multilevel"/>
    <w:tmpl w:val="10DA01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174983"/>
    <w:multiLevelType w:val="multilevel"/>
    <w:tmpl w:val="D80E54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E142DDC"/>
    <w:multiLevelType w:val="multilevel"/>
    <w:tmpl w:val="3EE2F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1B700E"/>
    <w:multiLevelType w:val="multilevel"/>
    <w:tmpl w:val="42F630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9B4081C"/>
    <w:multiLevelType w:val="multilevel"/>
    <w:tmpl w:val="853CE2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6"/>
  </w:num>
  <w:num w:numId="4">
    <w:abstractNumId w:val="7"/>
  </w:num>
  <w:num w:numId="5">
    <w:abstractNumId w:val="0"/>
  </w:num>
  <w:num w:numId="6">
    <w:abstractNumId w:val="5"/>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80C66"/>
    <w:rsid w:val="002214BE"/>
    <w:rsid w:val="00286832"/>
    <w:rsid w:val="00780C66"/>
    <w:rsid w:val="00AF4E2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E2A"/>
    <w:pPr>
      <w:widowControl w:val="0"/>
    </w:pPr>
    <w:rPr>
      <w:kern w:val="2"/>
      <w:sz w:val="24"/>
      <w:szCs w:val="22"/>
    </w:rPr>
  </w:style>
  <w:style w:type="paragraph" w:styleId="1">
    <w:name w:val="heading 1"/>
    <w:basedOn w:val="a"/>
    <w:link w:val="10"/>
    <w:uiPriority w:val="9"/>
    <w:qFormat/>
    <w:rsid w:val="00AF4E2A"/>
    <w:pPr>
      <w:widowControl/>
      <w:spacing w:before="161" w:after="161"/>
      <w:outlineLvl w:val="0"/>
    </w:pPr>
    <w:rPr>
      <w:rFonts w:ascii="Cambria" w:hAnsi="Cambria"/>
      <w:b/>
      <w:bCs/>
      <w:kern w:val="32"/>
      <w:sz w:val="32"/>
      <w:szCs w:val="32"/>
    </w:rPr>
  </w:style>
  <w:style w:type="paragraph" w:styleId="3">
    <w:name w:val="heading 3"/>
    <w:basedOn w:val="a"/>
    <w:next w:val="a"/>
    <w:link w:val="30"/>
    <w:uiPriority w:val="9"/>
    <w:unhideWhenUsed/>
    <w:qFormat/>
    <w:rsid w:val="00AF4E2A"/>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F4E2A"/>
    <w:rPr>
      <w:rFonts w:ascii="Cambria" w:eastAsia="新細明體" w:hAnsi="Cambria" w:cs="Times New Roman"/>
      <w:b/>
      <w:bCs/>
      <w:kern w:val="32"/>
      <w:sz w:val="32"/>
      <w:szCs w:val="32"/>
      <w:lang w:eastAsia="zh-TW"/>
    </w:rPr>
  </w:style>
  <w:style w:type="character" w:customStyle="1" w:styleId="30">
    <w:name w:val="標題 3 字元"/>
    <w:basedOn w:val="a0"/>
    <w:link w:val="3"/>
    <w:uiPriority w:val="9"/>
    <w:rsid w:val="00AF4E2A"/>
    <w:rPr>
      <w:rFonts w:asciiTheme="majorHAnsi" w:eastAsiaTheme="majorEastAsia" w:hAnsiTheme="majorHAnsi" w:cstheme="majorBidi"/>
      <w:b/>
      <w:bCs/>
      <w:kern w:val="2"/>
      <w:sz w:val="36"/>
      <w:szCs w:val="36"/>
    </w:rPr>
  </w:style>
  <w:style w:type="paragraph" w:styleId="11">
    <w:name w:val="toc 1"/>
    <w:basedOn w:val="a"/>
    <w:next w:val="a"/>
    <w:autoRedefine/>
    <w:uiPriority w:val="39"/>
    <w:unhideWhenUsed/>
    <w:qFormat/>
    <w:rsid w:val="00AF4E2A"/>
  </w:style>
  <w:style w:type="paragraph" w:styleId="2">
    <w:name w:val="toc 2"/>
    <w:basedOn w:val="a"/>
    <w:next w:val="a"/>
    <w:autoRedefine/>
    <w:uiPriority w:val="39"/>
    <w:semiHidden/>
    <w:unhideWhenUsed/>
    <w:qFormat/>
    <w:rsid w:val="00AF4E2A"/>
    <w:pPr>
      <w:widowControl/>
      <w:spacing w:after="100" w:line="276" w:lineRule="auto"/>
      <w:ind w:left="220"/>
    </w:pPr>
    <w:rPr>
      <w:rFonts w:asciiTheme="minorHAnsi" w:eastAsiaTheme="minorEastAsia" w:hAnsiTheme="minorHAnsi" w:cstheme="minorBidi"/>
      <w:kern w:val="0"/>
      <w:sz w:val="22"/>
      <w:lang w:eastAsia="zh-HK"/>
    </w:rPr>
  </w:style>
  <w:style w:type="paragraph" w:styleId="31">
    <w:name w:val="toc 3"/>
    <w:basedOn w:val="a"/>
    <w:next w:val="a"/>
    <w:autoRedefine/>
    <w:uiPriority w:val="39"/>
    <w:semiHidden/>
    <w:unhideWhenUsed/>
    <w:qFormat/>
    <w:rsid w:val="00AF4E2A"/>
    <w:pPr>
      <w:widowControl/>
      <w:spacing w:after="100" w:line="276" w:lineRule="auto"/>
      <w:ind w:left="440"/>
    </w:pPr>
    <w:rPr>
      <w:rFonts w:asciiTheme="minorHAnsi" w:eastAsiaTheme="minorEastAsia" w:hAnsiTheme="minorHAnsi" w:cstheme="minorBidi"/>
      <w:kern w:val="0"/>
      <w:sz w:val="22"/>
      <w:lang w:eastAsia="zh-HK"/>
    </w:rPr>
  </w:style>
  <w:style w:type="paragraph" w:styleId="a3">
    <w:name w:val="Title"/>
    <w:basedOn w:val="a"/>
    <w:next w:val="a"/>
    <w:link w:val="a4"/>
    <w:uiPriority w:val="10"/>
    <w:qFormat/>
    <w:rsid w:val="00AF4E2A"/>
    <w:pPr>
      <w:spacing w:before="240" w:after="60"/>
      <w:jc w:val="center"/>
      <w:outlineLvl w:val="0"/>
    </w:pPr>
    <w:rPr>
      <w:rFonts w:ascii="Cambria" w:hAnsi="Cambria"/>
      <w:b/>
      <w:bCs/>
      <w:sz w:val="32"/>
      <w:szCs w:val="32"/>
    </w:rPr>
  </w:style>
  <w:style w:type="character" w:customStyle="1" w:styleId="a4">
    <w:name w:val="標題 字元"/>
    <w:basedOn w:val="a0"/>
    <w:link w:val="a3"/>
    <w:uiPriority w:val="10"/>
    <w:rsid w:val="00AF4E2A"/>
    <w:rPr>
      <w:rFonts w:ascii="Cambria" w:hAnsi="Cambria" w:cs="Times New Roman"/>
      <w:b/>
      <w:bCs/>
      <w:kern w:val="2"/>
      <w:sz w:val="32"/>
      <w:szCs w:val="32"/>
    </w:rPr>
  </w:style>
  <w:style w:type="character" w:styleId="a5">
    <w:name w:val="Strong"/>
    <w:basedOn w:val="a0"/>
    <w:uiPriority w:val="99"/>
    <w:qFormat/>
    <w:rsid w:val="00AF4E2A"/>
    <w:rPr>
      <w:rFonts w:cs="Times New Roman"/>
      <w:b/>
      <w:bCs/>
    </w:rPr>
  </w:style>
  <w:style w:type="paragraph" w:styleId="a6">
    <w:name w:val="TOC Heading"/>
    <w:basedOn w:val="1"/>
    <w:next w:val="a"/>
    <w:uiPriority w:val="39"/>
    <w:unhideWhenUsed/>
    <w:qFormat/>
    <w:rsid w:val="00AF4E2A"/>
    <w:pPr>
      <w:keepNext/>
      <w:keepLines/>
      <w:spacing w:before="480" w:after="0" w:line="276" w:lineRule="auto"/>
      <w:outlineLvl w:val="9"/>
    </w:pPr>
    <w:rPr>
      <w:color w:val="365F91"/>
      <w:kern w:val="0"/>
      <w:sz w:val="28"/>
      <w:szCs w:val="28"/>
      <w:lang w:eastAsia="zh-HK"/>
    </w:rPr>
  </w:style>
  <w:style w:type="paragraph" w:styleId="Web">
    <w:name w:val="Normal (Web)"/>
    <w:basedOn w:val="a"/>
    <w:uiPriority w:val="99"/>
    <w:semiHidden/>
    <w:unhideWhenUsed/>
    <w:rsid w:val="00780C66"/>
    <w:pPr>
      <w:widowControl/>
      <w:spacing w:before="100" w:beforeAutospacing="1" w:after="100" w:afterAutospacing="1"/>
    </w:pPr>
    <w:rPr>
      <w:rFonts w:ascii="新細明體" w:hAnsi="新細明體" w:cs="新細明體"/>
      <w:kern w:val="0"/>
      <w:szCs w:val="24"/>
    </w:rPr>
  </w:style>
  <w:style w:type="character" w:customStyle="1" w:styleId="apple-converted-space">
    <w:name w:val="apple-converted-space"/>
    <w:basedOn w:val="a0"/>
    <w:rsid w:val="00780C66"/>
  </w:style>
</w:styles>
</file>

<file path=word/webSettings.xml><?xml version="1.0" encoding="utf-8"?>
<w:webSettings xmlns:r="http://schemas.openxmlformats.org/officeDocument/2006/relationships" xmlns:w="http://schemas.openxmlformats.org/wordprocessingml/2006/main">
  <w:divs>
    <w:div w:id="34216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592</Words>
  <Characters>3381</Characters>
  <Application>Microsoft Office Word</Application>
  <DocSecurity>0</DocSecurity>
  <Lines>28</Lines>
  <Paragraphs>7</Paragraphs>
  <ScaleCrop>false</ScaleCrop>
  <Company>Microsoft</Company>
  <LinksUpToDate>false</LinksUpToDate>
  <CharactersWithSpaces>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dc:creator>
  <cp:lastModifiedBy>CRA</cp:lastModifiedBy>
  <cp:revision>1</cp:revision>
  <dcterms:created xsi:type="dcterms:W3CDTF">2016-01-25T08:41:00Z</dcterms:created>
  <dcterms:modified xsi:type="dcterms:W3CDTF">2016-01-25T08:42:00Z</dcterms:modified>
</cp:coreProperties>
</file>